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0864" w14:textId="450904B6" w:rsidR="00766388" w:rsidRPr="007803DC" w:rsidRDefault="0095346A">
      <w:pPr>
        <w:spacing w:before="240" w:after="240"/>
        <w:jc w:val="both"/>
        <w:rPr>
          <w:rFonts w:asciiTheme="majorHAnsi" w:eastAsia="Calibri" w:hAnsiTheme="majorHAnsi" w:cstheme="majorHAnsi"/>
          <w:b/>
        </w:rPr>
      </w:pPr>
      <w:r w:rsidRPr="007803DC">
        <w:rPr>
          <w:rFonts w:asciiTheme="majorHAnsi" w:eastAsia="Calibri" w:hAnsiTheme="majorHAnsi" w:cstheme="majorHAnsi"/>
          <w:b/>
        </w:rPr>
        <w:t xml:space="preserve">JUSTIFICATIVA DE INEXIGIBILIDADE DE CHAMAMENTO PÚBLICO PARA TERMO DE FOMENTO A SER FIRMADO ENTRE </w:t>
      </w:r>
      <w:r w:rsidR="00F430E2" w:rsidRPr="007803DC">
        <w:rPr>
          <w:rFonts w:asciiTheme="majorHAnsi" w:eastAsia="Calibri" w:hAnsiTheme="majorHAnsi" w:cstheme="majorHAnsi"/>
          <w:b/>
        </w:rPr>
        <w:t>A</w:t>
      </w:r>
      <w:r w:rsidRPr="007803DC">
        <w:rPr>
          <w:rFonts w:asciiTheme="majorHAnsi" w:eastAsia="Calibri" w:hAnsiTheme="majorHAnsi" w:cstheme="majorHAnsi"/>
          <w:b/>
        </w:rPr>
        <w:t xml:space="preserve"> </w:t>
      </w:r>
      <w:r w:rsidR="00F430E2" w:rsidRPr="007803DC">
        <w:rPr>
          <w:rFonts w:asciiTheme="majorHAnsi" w:eastAsia="Calibri" w:hAnsiTheme="majorHAnsi" w:cstheme="majorHAnsi"/>
          <w:b/>
        </w:rPr>
        <w:t xml:space="preserve">ASSOCIAÇÃO CULTURAL TEATRO FACES </w:t>
      </w:r>
      <w:r w:rsidRPr="007803DC">
        <w:rPr>
          <w:rFonts w:asciiTheme="majorHAnsi" w:eastAsia="Calibri" w:hAnsiTheme="majorHAnsi" w:cstheme="majorHAnsi"/>
          <w:b/>
        </w:rPr>
        <w:t>E A SECRETARIA DE ESTADO DE CULTURA, ESPORTE E LAZER – SECEL/MT.</w:t>
      </w:r>
    </w:p>
    <w:p w14:paraId="34DCC1B4" w14:textId="37FC10CD" w:rsidR="009D7E5F" w:rsidRPr="007803DC" w:rsidRDefault="0095346A" w:rsidP="009D7E5F">
      <w:pPr>
        <w:spacing w:line="240" w:lineRule="auto"/>
        <w:rPr>
          <w:rFonts w:asciiTheme="majorHAnsi" w:eastAsia="Calibri" w:hAnsiTheme="majorHAnsi" w:cstheme="majorHAnsi"/>
        </w:rPr>
      </w:pPr>
      <w:r w:rsidRPr="007803DC">
        <w:rPr>
          <w:rFonts w:asciiTheme="majorHAnsi" w:hAnsiTheme="majorHAnsi" w:cstheme="majorHAnsi"/>
          <w:b/>
        </w:rPr>
        <w:br/>
      </w:r>
      <w:r w:rsidRPr="007803DC">
        <w:rPr>
          <w:rFonts w:asciiTheme="majorHAnsi" w:eastAsia="Calibri" w:hAnsiTheme="majorHAnsi" w:cstheme="majorHAnsi"/>
          <w:b/>
        </w:rPr>
        <w:t>PROCESSO N°:</w:t>
      </w:r>
      <w:r w:rsidRPr="007803DC">
        <w:rPr>
          <w:rFonts w:asciiTheme="majorHAnsi" w:eastAsia="Calibri" w:hAnsiTheme="majorHAnsi" w:cstheme="majorHAnsi"/>
        </w:rPr>
        <w:t xml:space="preserve"> SECEL-PRO-202</w:t>
      </w:r>
      <w:r w:rsidR="009D7E5F" w:rsidRPr="007803DC">
        <w:rPr>
          <w:rFonts w:asciiTheme="majorHAnsi" w:eastAsia="Calibri" w:hAnsiTheme="majorHAnsi" w:cstheme="majorHAnsi"/>
        </w:rPr>
        <w:t>6</w:t>
      </w:r>
      <w:r w:rsidRPr="007803DC">
        <w:rPr>
          <w:rFonts w:asciiTheme="majorHAnsi" w:eastAsia="Calibri" w:hAnsiTheme="majorHAnsi" w:cstheme="majorHAnsi"/>
        </w:rPr>
        <w:t>/010</w:t>
      </w:r>
      <w:r w:rsidR="00F430E2" w:rsidRPr="007803DC">
        <w:rPr>
          <w:rFonts w:asciiTheme="majorHAnsi" w:eastAsia="Calibri" w:hAnsiTheme="majorHAnsi" w:cstheme="majorHAnsi"/>
        </w:rPr>
        <w:t>4</w:t>
      </w:r>
      <w:r w:rsidR="009D7E5F" w:rsidRPr="007803DC">
        <w:rPr>
          <w:rFonts w:asciiTheme="majorHAnsi" w:eastAsia="Calibri" w:hAnsiTheme="majorHAnsi" w:cstheme="majorHAnsi"/>
        </w:rPr>
        <w:t>5</w:t>
      </w:r>
      <w:r w:rsidRPr="007803DC">
        <w:rPr>
          <w:rFonts w:asciiTheme="majorHAnsi" w:eastAsia="Calibri" w:hAnsiTheme="majorHAnsi" w:cstheme="majorHAnsi"/>
        </w:rPr>
        <w:br/>
      </w:r>
      <w:r w:rsidR="009D7E5F" w:rsidRPr="007803DC">
        <w:rPr>
          <w:rFonts w:asciiTheme="majorHAnsi" w:eastAsia="Calibri" w:hAnsiTheme="majorHAnsi" w:cstheme="majorHAnsi"/>
          <w:b/>
        </w:rPr>
        <w:t>ORGANIZAÇÃO PARCEIRA</w:t>
      </w:r>
      <w:r w:rsidRPr="007803DC">
        <w:rPr>
          <w:rFonts w:asciiTheme="majorHAnsi" w:eastAsia="Calibri" w:hAnsiTheme="majorHAnsi" w:cstheme="majorHAnsi"/>
          <w:b/>
        </w:rPr>
        <w:t>:</w:t>
      </w:r>
      <w:r w:rsidRPr="007803DC">
        <w:rPr>
          <w:rFonts w:asciiTheme="majorHAnsi" w:eastAsia="Calibri" w:hAnsiTheme="majorHAnsi" w:cstheme="majorHAnsi"/>
        </w:rPr>
        <w:t xml:space="preserve"> </w:t>
      </w:r>
      <w:r w:rsidR="00F430E2" w:rsidRPr="007803DC">
        <w:rPr>
          <w:rFonts w:asciiTheme="majorHAnsi" w:eastAsia="Calibri" w:hAnsiTheme="majorHAnsi" w:cstheme="majorHAnsi"/>
        </w:rPr>
        <w:t>ASSOCIAÇÃO CULTURAL TEATRO FACES</w:t>
      </w:r>
    </w:p>
    <w:p w14:paraId="1C46E03D" w14:textId="0DA6EFB6" w:rsidR="009D7E5F" w:rsidRPr="007803DC" w:rsidRDefault="009D7E5F" w:rsidP="009D7E5F">
      <w:pPr>
        <w:spacing w:line="240" w:lineRule="auto"/>
        <w:rPr>
          <w:rFonts w:asciiTheme="majorHAnsi" w:eastAsia="Calibri" w:hAnsiTheme="majorHAnsi" w:cstheme="majorHAnsi"/>
        </w:rPr>
      </w:pPr>
      <w:r w:rsidRPr="007803DC">
        <w:rPr>
          <w:rFonts w:asciiTheme="majorHAnsi" w:eastAsia="Calibri" w:hAnsiTheme="majorHAnsi" w:cstheme="majorHAnsi"/>
          <w:b/>
        </w:rPr>
        <w:t>OBJETO:</w:t>
      </w:r>
      <w:r w:rsidRPr="007803DC">
        <w:rPr>
          <w:rFonts w:asciiTheme="majorHAnsi" w:eastAsia="Calibri" w:hAnsiTheme="majorHAnsi" w:cstheme="majorHAnsi"/>
        </w:rPr>
        <w:t xml:space="preserve"> </w:t>
      </w:r>
      <w:r w:rsidR="00F430E2" w:rsidRPr="007803DC">
        <w:rPr>
          <w:rFonts w:asciiTheme="majorHAnsi" w:eastAsia="Calibri" w:hAnsiTheme="majorHAnsi" w:cstheme="majorHAnsi"/>
        </w:rPr>
        <w:t>XX FESTIVAL VELHA JOANA – MOSTRA ENCONTROS DA VELHA E MOSTRA EM PAUTA</w:t>
      </w:r>
    </w:p>
    <w:p w14:paraId="566DD6D1" w14:textId="4ACA5384" w:rsidR="00766388" w:rsidRPr="007803DC" w:rsidRDefault="0095346A" w:rsidP="009D7E5F">
      <w:pPr>
        <w:spacing w:line="240" w:lineRule="auto"/>
        <w:rPr>
          <w:rFonts w:asciiTheme="majorHAnsi" w:eastAsia="Calibri" w:hAnsiTheme="majorHAnsi" w:cstheme="majorHAnsi"/>
        </w:rPr>
      </w:pPr>
      <w:r w:rsidRPr="007803DC">
        <w:rPr>
          <w:rFonts w:asciiTheme="majorHAnsi" w:eastAsia="Calibri" w:hAnsiTheme="majorHAnsi" w:cstheme="majorHAnsi"/>
          <w:b/>
        </w:rPr>
        <w:t>MODALIDADE:</w:t>
      </w:r>
      <w:r w:rsidRPr="007803DC">
        <w:rPr>
          <w:rFonts w:asciiTheme="majorHAnsi" w:eastAsia="Calibri" w:hAnsiTheme="majorHAnsi" w:cstheme="majorHAnsi"/>
        </w:rPr>
        <w:t xml:space="preserve"> TERMO DE FOMENTO (COM INEXIGIBILIDADE DE CHAMAMENTO PÚBLICO) </w:t>
      </w:r>
      <w:r w:rsidRPr="007803DC">
        <w:rPr>
          <w:rFonts w:asciiTheme="majorHAnsi" w:eastAsia="Calibri" w:hAnsiTheme="majorHAnsi" w:cstheme="majorHAnsi"/>
          <w:highlight w:val="white"/>
        </w:rPr>
        <w:br/>
      </w:r>
      <w:r w:rsidRPr="007803DC">
        <w:rPr>
          <w:rFonts w:asciiTheme="majorHAnsi" w:eastAsia="Calibri" w:hAnsiTheme="majorHAnsi" w:cstheme="majorHAnsi"/>
          <w:b/>
        </w:rPr>
        <w:t>VALOR:</w:t>
      </w:r>
      <w:r w:rsidRPr="007803DC">
        <w:rPr>
          <w:rFonts w:asciiTheme="majorHAnsi" w:eastAsia="Calibri" w:hAnsiTheme="majorHAnsi" w:cstheme="majorHAnsi"/>
        </w:rPr>
        <w:t xml:space="preserve"> </w:t>
      </w:r>
      <w:r w:rsidR="00F430E2" w:rsidRPr="007803DC">
        <w:rPr>
          <w:rFonts w:asciiTheme="majorHAnsi" w:eastAsia="Calibri" w:hAnsiTheme="majorHAnsi" w:cstheme="majorHAnsi"/>
        </w:rPr>
        <w:t>R$ 650.000,00 (SEISCENTOS E CINQUENTA MIL REAIS).</w:t>
      </w:r>
    </w:p>
    <w:p w14:paraId="6A94D999" w14:textId="77777777" w:rsidR="009D7E5F" w:rsidRPr="007803DC" w:rsidRDefault="009D7E5F" w:rsidP="009D7E5F">
      <w:pPr>
        <w:spacing w:line="240" w:lineRule="auto"/>
        <w:rPr>
          <w:rFonts w:asciiTheme="majorHAnsi" w:eastAsia="Calibri" w:hAnsiTheme="majorHAnsi" w:cstheme="majorHAnsi"/>
        </w:rPr>
      </w:pPr>
    </w:p>
    <w:p w14:paraId="28F7B1AA" w14:textId="77777777" w:rsidR="00766388" w:rsidRPr="007803DC" w:rsidRDefault="0095346A" w:rsidP="009D7E5F">
      <w:pPr>
        <w:spacing w:before="240" w:after="240"/>
        <w:jc w:val="both"/>
        <w:rPr>
          <w:rFonts w:asciiTheme="majorHAnsi" w:eastAsia="Calibri" w:hAnsiTheme="majorHAnsi" w:cstheme="majorHAnsi"/>
          <w:b/>
        </w:rPr>
      </w:pPr>
      <w:r w:rsidRPr="007803DC">
        <w:rPr>
          <w:rFonts w:asciiTheme="majorHAnsi" w:eastAsia="Calibri" w:hAnsiTheme="majorHAnsi" w:cstheme="majorHAnsi"/>
          <w:b/>
        </w:rPr>
        <w:t>JUSTIFICATIVA TÉCNICO-JURÍDICA PARA A INEXIGIBILIDADE DE CHAMAMENTO PÚBLICO</w:t>
      </w:r>
    </w:p>
    <w:p w14:paraId="41679D26" w14:textId="1BF695F1"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A presente justificativa tem por objeto fundamentar juridicamente a inexigibilidade de chamamento público, com base no artigo 31 da Lei Federal nº 13.019/2014, para a celebração de Termo de Fomento entre a Secretaria de Estado de Cultura, Esporte e Lazer de Mato Grosso (SECEL/MT) e </w:t>
      </w:r>
      <w:r w:rsidR="00F430E2" w:rsidRPr="007803DC">
        <w:rPr>
          <w:rFonts w:asciiTheme="majorHAnsi" w:eastAsia="Calibri" w:hAnsiTheme="majorHAnsi" w:cstheme="majorHAnsi"/>
        </w:rPr>
        <w:t>a Associação Cultural Teatro Faces</w:t>
      </w:r>
      <w:r w:rsidRPr="007803DC">
        <w:rPr>
          <w:rFonts w:asciiTheme="majorHAnsi" w:eastAsia="Calibri" w:hAnsiTheme="majorHAnsi" w:cstheme="majorHAnsi"/>
        </w:rPr>
        <w:t>, visando à realização do projeto cultural intitulado “</w:t>
      </w:r>
      <w:r w:rsidR="00F430E2" w:rsidRPr="007803DC">
        <w:rPr>
          <w:rFonts w:asciiTheme="majorHAnsi" w:eastAsia="Calibri" w:hAnsiTheme="majorHAnsi" w:cstheme="majorHAnsi"/>
        </w:rPr>
        <w:t>XX FESTIVAL VELHA JOANA – MOSTRA ENCONTROS DA VELHA E MOSTRA EM PAUTA</w:t>
      </w:r>
      <w:r w:rsidRPr="007803DC">
        <w:rPr>
          <w:rFonts w:asciiTheme="majorHAnsi" w:eastAsia="Calibri" w:hAnsiTheme="majorHAnsi" w:cstheme="majorHAnsi"/>
        </w:rPr>
        <w:t xml:space="preserve">”, cuja execução está prevista para o período de </w:t>
      </w:r>
      <w:r w:rsidR="00F430E2" w:rsidRPr="007803DC">
        <w:rPr>
          <w:rFonts w:asciiTheme="majorHAnsi" w:eastAsia="Calibri" w:hAnsiTheme="majorHAnsi" w:cstheme="majorHAnsi"/>
        </w:rPr>
        <w:t>06 a 15 de novembro de 2026</w:t>
      </w:r>
      <w:r w:rsidRPr="007803DC">
        <w:rPr>
          <w:rFonts w:asciiTheme="majorHAnsi" w:eastAsia="Calibri" w:hAnsiTheme="majorHAnsi" w:cstheme="majorHAnsi"/>
        </w:rPr>
        <w:t xml:space="preserve">, no valor global de R$ </w:t>
      </w:r>
      <w:r w:rsidR="00F430E2" w:rsidRPr="007803DC">
        <w:rPr>
          <w:rFonts w:asciiTheme="majorHAnsi" w:eastAsia="Calibri" w:hAnsiTheme="majorHAnsi" w:cstheme="majorHAnsi"/>
        </w:rPr>
        <w:t>65</w:t>
      </w:r>
      <w:r w:rsidRPr="007803DC">
        <w:rPr>
          <w:rFonts w:asciiTheme="majorHAnsi" w:eastAsia="Calibri" w:hAnsiTheme="majorHAnsi" w:cstheme="majorHAnsi"/>
        </w:rPr>
        <w:t>0.000,00.</w:t>
      </w:r>
    </w:p>
    <w:p w14:paraId="30429309" w14:textId="72EA4668" w:rsidR="00766388" w:rsidRPr="007803DC" w:rsidRDefault="009D7E5F">
      <w:pPr>
        <w:pStyle w:val="Ttulo3"/>
        <w:keepNext w:val="0"/>
        <w:keepLines w:val="0"/>
        <w:spacing w:before="280"/>
        <w:rPr>
          <w:rFonts w:asciiTheme="majorHAnsi" w:hAnsiTheme="majorHAnsi" w:cstheme="majorHAnsi"/>
          <w:iCs/>
          <w:color w:val="auto"/>
          <w:sz w:val="22"/>
          <w:szCs w:val="22"/>
        </w:rPr>
      </w:pPr>
      <w:bookmarkStart w:id="0" w:name="_cerl3dn52lh9" w:colFirst="0" w:colLast="0"/>
      <w:bookmarkEnd w:id="0"/>
      <w:r w:rsidRPr="007803DC">
        <w:rPr>
          <w:rFonts w:asciiTheme="majorHAnsi" w:eastAsia="Calibri" w:hAnsiTheme="majorHAnsi" w:cstheme="majorHAnsi"/>
          <w:b/>
          <w:iCs/>
          <w:color w:val="auto"/>
          <w:sz w:val="22"/>
          <w:szCs w:val="22"/>
        </w:rPr>
        <w:t>I – FUNDAMENTO LEGAL</w:t>
      </w:r>
    </w:p>
    <w:p w14:paraId="53BA09F3" w14:textId="4746FA14" w:rsidR="009D7E5F"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Nos termos do artigo 31 da Lei nº 13.019/2014, será considerado inexigível o chamamento público “na hipótese de inviabilidade de competição entre as organizações da sociedade civil, em razão da natureza singular do objeto da parceria ou se as metas somente puderem ser atingidas por uma entidade específica”. </w:t>
      </w:r>
    </w:p>
    <w:p w14:paraId="050F7D44" w14:textId="11390679"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Tal previsão é complementada pelo artigo 32 da mesma norma, que determina a obrigatoriedade de justificativa expressa, clara e objetiva por parte do administrador público quanto à não realização do procedimento competitivo.</w:t>
      </w:r>
    </w:p>
    <w:p w14:paraId="7F308014" w14:textId="231C9FBF" w:rsidR="00766388" w:rsidRPr="007803DC" w:rsidRDefault="0095346A" w:rsidP="009D7E5F">
      <w:pPr>
        <w:spacing w:before="240" w:after="240"/>
        <w:jc w:val="both"/>
        <w:rPr>
          <w:rFonts w:asciiTheme="majorHAnsi" w:eastAsia="Calibri" w:hAnsiTheme="majorHAnsi" w:cstheme="majorHAnsi"/>
          <w:b/>
        </w:rPr>
      </w:pPr>
      <w:r w:rsidRPr="007803DC">
        <w:rPr>
          <w:rFonts w:asciiTheme="majorHAnsi" w:eastAsia="Calibri" w:hAnsiTheme="majorHAnsi" w:cstheme="majorHAnsi"/>
        </w:rPr>
        <w:t>No âmbito estadual, a Instrução Normativa Conjunta SEPLAN/SEFAZ/CGE nº 01/2016 dispõe sobre os procedimentos para formalização de parcerias com OSCs, reiterando que, apesar da regra geral do chamamento público, poderá haver inexigibilidade nos casos previstos no art. 31 da legislação federal, desde que demonstrada a devida motivação técnica e jurídica, como ora apresentado.</w:t>
      </w:r>
      <w:bookmarkStart w:id="1" w:name="_a1ypifw6cwst" w:colFirst="0" w:colLast="0"/>
      <w:bookmarkStart w:id="2" w:name="_w5ixbdb7mugf" w:colFirst="0" w:colLast="0"/>
      <w:bookmarkEnd w:id="1"/>
      <w:bookmarkEnd w:id="2"/>
    </w:p>
    <w:p w14:paraId="46E62E59" w14:textId="77777777" w:rsidR="00F430E2" w:rsidRPr="007803DC" w:rsidRDefault="009D7E5F" w:rsidP="00F430E2">
      <w:pPr>
        <w:pStyle w:val="Ttulo3"/>
        <w:keepNext w:val="0"/>
        <w:keepLines w:val="0"/>
        <w:spacing w:before="280"/>
        <w:rPr>
          <w:rFonts w:asciiTheme="majorHAnsi" w:eastAsia="Calibri" w:hAnsiTheme="majorHAnsi" w:cstheme="majorHAnsi"/>
          <w:b/>
          <w:iCs/>
          <w:color w:val="auto"/>
          <w:sz w:val="22"/>
          <w:szCs w:val="22"/>
        </w:rPr>
      </w:pPr>
      <w:bookmarkStart w:id="3" w:name="_742565pixl2a" w:colFirst="0" w:colLast="0"/>
      <w:bookmarkEnd w:id="3"/>
      <w:r w:rsidRPr="007803DC">
        <w:rPr>
          <w:rFonts w:asciiTheme="majorHAnsi" w:eastAsia="Calibri" w:hAnsiTheme="majorHAnsi" w:cstheme="majorHAnsi"/>
          <w:b/>
          <w:iCs/>
          <w:color w:val="auto"/>
          <w:sz w:val="22"/>
          <w:szCs w:val="22"/>
        </w:rPr>
        <w:t>II – NATUREZA SINGULAR DO OBJETO</w:t>
      </w:r>
    </w:p>
    <w:p w14:paraId="3A157BD4" w14:textId="28B448CD" w:rsidR="00F430E2" w:rsidRPr="007803DC" w:rsidRDefault="00F430E2" w:rsidP="00F430E2">
      <w:pPr>
        <w:pStyle w:val="Ttulo3"/>
        <w:keepNext w:val="0"/>
        <w:keepLines w:val="0"/>
        <w:spacing w:before="280"/>
        <w:jc w:val="both"/>
        <w:rPr>
          <w:rFonts w:asciiTheme="majorHAnsi" w:eastAsia="Calibri" w:hAnsiTheme="majorHAnsi" w:cstheme="majorHAnsi"/>
          <w:b/>
          <w:iCs/>
          <w:color w:val="auto"/>
          <w:sz w:val="22"/>
          <w:szCs w:val="22"/>
        </w:rPr>
      </w:pPr>
      <w:r w:rsidRPr="007803DC">
        <w:rPr>
          <w:rFonts w:asciiTheme="majorHAnsi" w:eastAsia="Calibri" w:hAnsiTheme="majorHAnsi" w:cstheme="majorHAnsi"/>
          <w:color w:val="auto"/>
          <w:sz w:val="22"/>
          <w:szCs w:val="22"/>
        </w:rPr>
        <w:t xml:space="preserve">O Festival Velha Joana </w:t>
      </w:r>
      <w:r w:rsidR="007803DC" w:rsidRPr="007803DC">
        <w:rPr>
          <w:rFonts w:asciiTheme="majorHAnsi" w:eastAsia="Calibri" w:hAnsiTheme="majorHAnsi" w:cstheme="majorHAnsi"/>
          <w:color w:val="auto"/>
          <w:sz w:val="22"/>
          <w:szCs w:val="22"/>
        </w:rPr>
        <w:t>t</w:t>
      </w:r>
      <w:r w:rsidRPr="007803DC">
        <w:rPr>
          <w:rFonts w:asciiTheme="majorHAnsi" w:eastAsia="Calibri" w:hAnsiTheme="majorHAnsi" w:cstheme="majorHAnsi"/>
          <w:color w:val="auto"/>
          <w:sz w:val="22"/>
          <w:szCs w:val="22"/>
        </w:rPr>
        <w:t>rata-se do maior e mais tradicional encontro de artes da cena do interior de Mato Grosso, com entrada gratuita e programação que ocupa toda a cidade de Primavera do Leste.</w:t>
      </w:r>
    </w:p>
    <w:p w14:paraId="7199272E" w14:textId="77777777" w:rsidR="007803DC" w:rsidRPr="007803DC" w:rsidRDefault="00F430E2" w:rsidP="007803DC">
      <w:pPr>
        <w:pStyle w:val="Ttulo3"/>
        <w:keepNext w:val="0"/>
        <w:keepLines w:val="0"/>
        <w:spacing w:before="280"/>
        <w:jc w:val="both"/>
        <w:rPr>
          <w:rFonts w:asciiTheme="majorHAnsi" w:eastAsia="Calibri" w:hAnsiTheme="majorHAnsi" w:cstheme="majorHAnsi"/>
          <w:color w:val="auto"/>
          <w:sz w:val="22"/>
          <w:szCs w:val="22"/>
        </w:rPr>
      </w:pPr>
      <w:r w:rsidRPr="007803DC">
        <w:rPr>
          <w:rFonts w:asciiTheme="majorHAnsi" w:eastAsia="Calibri" w:hAnsiTheme="majorHAnsi" w:cstheme="majorHAnsi"/>
          <w:color w:val="auto"/>
          <w:sz w:val="22"/>
          <w:szCs w:val="22"/>
        </w:rPr>
        <w:t>A curadoria busca democratizar o acesso à cultura, trazendo espetáculos de diversas regiões do País e promovendo a ocupação de espaços alternativos, ampliando o alcance das artes cênicas e promovendo a formação de público.</w:t>
      </w:r>
    </w:p>
    <w:p w14:paraId="260E5A45" w14:textId="77777777" w:rsidR="007803DC" w:rsidRPr="007803DC" w:rsidRDefault="00F430E2" w:rsidP="007803DC">
      <w:pPr>
        <w:pStyle w:val="Ttulo3"/>
        <w:keepNext w:val="0"/>
        <w:keepLines w:val="0"/>
        <w:spacing w:before="280"/>
        <w:jc w:val="both"/>
        <w:rPr>
          <w:rFonts w:asciiTheme="majorHAnsi" w:eastAsia="Calibri" w:hAnsiTheme="majorHAnsi" w:cstheme="majorHAnsi"/>
          <w:color w:val="auto"/>
          <w:sz w:val="22"/>
          <w:szCs w:val="22"/>
        </w:rPr>
      </w:pPr>
      <w:r w:rsidRPr="007803DC">
        <w:rPr>
          <w:rFonts w:asciiTheme="majorHAnsi" w:eastAsia="Calibri" w:hAnsiTheme="majorHAnsi" w:cstheme="majorHAnsi"/>
          <w:color w:val="auto"/>
          <w:sz w:val="22"/>
          <w:szCs w:val="22"/>
        </w:rPr>
        <w:lastRenderedPageBreak/>
        <w:t>A complexidade logística do evento, a necessidade de articulação com grupos locais e nacionais e sua consolidação como referência cultural tornam o festival uma iniciativa singular, que extrapola a lógica de evento pontual.</w:t>
      </w:r>
    </w:p>
    <w:p w14:paraId="6F1D2C06" w14:textId="56740934" w:rsidR="007803DC" w:rsidRPr="007803DC" w:rsidRDefault="00F430E2" w:rsidP="007803DC">
      <w:pPr>
        <w:pStyle w:val="Ttulo3"/>
        <w:keepNext w:val="0"/>
        <w:keepLines w:val="0"/>
        <w:spacing w:before="280"/>
        <w:jc w:val="both"/>
        <w:rPr>
          <w:rFonts w:asciiTheme="majorHAnsi" w:eastAsia="Calibri" w:hAnsiTheme="majorHAnsi" w:cstheme="majorHAnsi"/>
          <w:color w:val="auto"/>
          <w:sz w:val="22"/>
          <w:szCs w:val="22"/>
        </w:rPr>
      </w:pPr>
      <w:r w:rsidRPr="007803DC">
        <w:rPr>
          <w:rFonts w:asciiTheme="majorHAnsi" w:eastAsia="Calibri" w:hAnsiTheme="majorHAnsi" w:cstheme="majorHAnsi"/>
          <w:color w:val="auto"/>
          <w:sz w:val="22"/>
          <w:szCs w:val="22"/>
        </w:rPr>
        <w:t>Além disso, o festival possui caráter estruturante para o setor cultural regional, contribuindo par</w:t>
      </w:r>
      <w:r w:rsidR="007803DC" w:rsidRPr="007803DC">
        <w:rPr>
          <w:rFonts w:asciiTheme="majorHAnsi" w:eastAsia="Calibri" w:hAnsiTheme="majorHAnsi" w:cstheme="majorHAnsi"/>
          <w:color w:val="auto"/>
          <w:sz w:val="22"/>
          <w:szCs w:val="22"/>
        </w:rPr>
        <w:t xml:space="preserve">a </w:t>
      </w:r>
      <w:r w:rsidR="007803DC" w:rsidRPr="007803DC">
        <w:rPr>
          <w:rFonts w:asciiTheme="majorHAnsi" w:hAnsiTheme="majorHAnsi" w:cstheme="majorHAnsi"/>
          <w:color w:val="auto"/>
          <w:sz w:val="22"/>
          <w:szCs w:val="22"/>
        </w:rPr>
        <w:t>formação e circulação de artistas, fortalecimento das artes da cena, dinamização da economia criativa local, democratização do acesso à cultura.</w:t>
      </w:r>
      <w:r w:rsidR="007803DC">
        <w:rPr>
          <w:rFonts w:asciiTheme="majorHAnsi" w:hAnsiTheme="majorHAnsi" w:cstheme="majorHAnsi"/>
          <w:color w:val="auto"/>
          <w:sz w:val="22"/>
          <w:szCs w:val="22"/>
        </w:rPr>
        <w:t xml:space="preserve"> Desta forma, </w:t>
      </w:r>
      <w:r w:rsidR="007803DC" w:rsidRPr="007803DC">
        <w:rPr>
          <w:rFonts w:asciiTheme="majorHAnsi" w:hAnsiTheme="majorHAnsi" w:cstheme="majorHAnsi"/>
          <w:color w:val="auto"/>
          <w:sz w:val="22"/>
          <w:szCs w:val="22"/>
        </w:rPr>
        <w:t>sua continuidade está diretamente associada ao acúmulo histórico, à curadoria especializada e à metodologia própria desenvolvida ao longo de quase duas décadas.</w:t>
      </w:r>
    </w:p>
    <w:p w14:paraId="131D354B" w14:textId="4E237F3D" w:rsidR="00766388" w:rsidRPr="007803DC" w:rsidRDefault="00F430E2" w:rsidP="007803DC">
      <w:pPr>
        <w:pStyle w:val="Ttulo3"/>
        <w:keepNext w:val="0"/>
        <w:keepLines w:val="0"/>
        <w:spacing w:before="280"/>
        <w:jc w:val="both"/>
        <w:rPr>
          <w:rFonts w:asciiTheme="majorHAnsi" w:eastAsia="Calibri" w:hAnsiTheme="majorHAnsi" w:cstheme="majorHAnsi"/>
          <w:b/>
          <w:iCs/>
          <w:color w:val="auto"/>
          <w:sz w:val="22"/>
          <w:szCs w:val="22"/>
        </w:rPr>
      </w:pPr>
      <w:r w:rsidRPr="007803DC">
        <w:rPr>
          <w:rFonts w:asciiTheme="majorHAnsi" w:eastAsia="Calibri" w:hAnsiTheme="majorHAnsi" w:cstheme="majorHAnsi"/>
          <w:b/>
          <w:iCs/>
          <w:color w:val="auto"/>
          <w:sz w:val="22"/>
          <w:szCs w:val="22"/>
        </w:rPr>
        <w:t xml:space="preserve"> </w:t>
      </w:r>
      <w:r w:rsidR="007803DC" w:rsidRPr="007803DC">
        <w:rPr>
          <w:rFonts w:asciiTheme="majorHAnsi" w:eastAsia="Calibri" w:hAnsiTheme="majorHAnsi" w:cstheme="majorHAnsi"/>
          <w:b/>
          <w:iCs/>
          <w:color w:val="auto"/>
          <w:sz w:val="22"/>
          <w:szCs w:val="22"/>
        </w:rPr>
        <w:t>III – SINGULARIDADE DA ENTIDADE PARCEIRA (OSC)</w:t>
      </w:r>
    </w:p>
    <w:p w14:paraId="7D9D85B1" w14:textId="77777777" w:rsidR="007803DC" w:rsidRDefault="007803DC" w:rsidP="007803DC">
      <w:pPr>
        <w:spacing w:before="240" w:after="240"/>
        <w:jc w:val="both"/>
        <w:rPr>
          <w:rFonts w:asciiTheme="majorHAnsi" w:eastAsia="Calibri" w:hAnsiTheme="majorHAnsi" w:cstheme="majorHAnsi"/>
        </w:rPr>
      </w:pPr>
      <w:r w:rsidRPr="007803DC">
        <w:rPr>
          <w:rFonts w:asciiTheme="majorHAnsi" w:eastAsia="Calibri" w:hAnsiTheme="majorHAnsi" w:cstheme="majorHAnsi"/>
        </w:rPr>
        <w:t>A Associação Cultural Teatro Faces é a única organização com legitimidade histórica e técnica para conceber e executar o Festival Velha Joana</w:t>
      </w:r>
      <w:r>
        <w:rPr>
          <w:rFonts w:asciiTheme="majorHAnsi" w:eastAsia="Calibri" w:hAnsiTheme="majorHAnsi" w:cstheme="majorHAnsi"/>
        </w:rPr>
        <w:t>, considerando que:</w:t>
      </w:r>
    </w:p>
    <w:p w14:paraId="26DBBC1A" w14:textId="77777777" w:rsidR="007803DC" w:rsidRDefault="007803DC" w:rsidP="00895198">
      <w:pPr>
        <w:pStyle w:val="PargrafodaLista"/>
        <w:numPr>
          <w:ilvl w:val="0"/>
          <w:numId w:val="7"/>
        </w:num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A entidade realiza o festival há quase duas décadas, sendo responsável por sua criação, consolidação e continuidade; </w:t>
      </w:r>
    </w:p>
    <w:p w14:paraId="490B99CF" w14:textId="77777777" w:rsidR="007803DC" w:rsidRDefault="007803DC" w:rsidP="007803DC">
      <w:pPr>
        <w:pStyle w:val="PargrafodaLista"/>
        <w:numPr>
          <w:ilvl w:val="0"/>
          <w:numId w:val="7"/>
        </w:numPr>
        <w:spacing w:before="240" w:after="240"/>
        <w:jc w:val="both"/>
        <w:rPr>
          <w:rFonts w:asciiTheme="majorHAnsi" w:eastAsia="Calibri" w:hAnsiTheme="majorHAnsi" w:cstheme="majorHAnsi"/>
        </w:rPr>
      </w:pPr>
      <w:r w:rsidRPr="007803DC">
        <w:rPr>
          <w:rFonts w:asciiTheme="majorHAnsi" w:eastAsia="Calibri" w:hAnsiTheme="majorHAnsi" w:cstheme="majorHAnsi"/>
        </w:rPr>
        <w:t>É amplamente reconhecida pela comunidade local, classe artística e poder público;</w:t>
      </w:r>
    </w:p>
    <w:p w14:paraId="0634954D" w14:textId="77777777" w:rsidR="007803DC" w:rsidRDefault="007803DC" w:rsidP="000502FF">
      <w:pPr>
        <w:pStyle w:val="PargrafodaLista"/>
        <w:numPr>
          <w:ilvl w:val="0"/>
          <w:numId w:val="7"/>
        </w:numPr>
        <w:spacing w:before="240" w:after="240"/>
        <w:jc w:val="both"/>
        <w:rPr>
          <w:rFonts w:asciiTheme="majorHAnsi" w:eastAsia="Calibri" w:hAnsiTheme="majorHAnsi" w:cstheme="majorHAnsi"/>
        </w:rPr>
      </w:pPr>
      <w:r w:rsidRPr="007803DC">
        <w:rPr>
          <w:rFonts w:asciiTheme="majorHAnsi" w:eastAsia="Calibri" w:hAnsiTheme="majorHAnsi" w:cstheme="majorHAnsi"/>
        </w:rPr>
        <w:t>Possui capacidade comprovada de mobilizar artistas, técnicos, voluntários e parceiros institucionais;</w:t>
      </w:r>
    </w:p>
    <w:p w14:paraId="5226D33A" w14:textId="7B22EEEB" w:rsidR="007803DC" w:rsidRPr="007803DC" w:rsidRDefault="007803DC" w:rsidP="000502FF">
      <w:pPr>
        <w:pStyle w:val="PargrafodaLista"/>
        <w:numPr>
          <w:ilvl w:val="0"/>
          <w:numId w:val="7"/>
        </w:num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Detém conhecimento técnico, metodológico e curatorial específico do evento. </w:t>
      </w:r>
    </w:p>
    <w:p w14:paraId="36824564" w14:textId="77777777" w:rsidR="007803DC" w:rsidRPr="007803DC" w:rsidRDefault="007803DC" w:rsidP="007803DC">
      <w:pPr>
        <w:spacing w:before="240" w:after="240"/>
        <w:jc w:val="both"/>
        <w:rPr>
          <w:rFonts w:asciiTheme="majorHAnsi" w:eastAsia="Calibri" w:hAnsiTheme="majorHAnsi" w:cstheme="majorHAnsi"/>
        </w:rPr>
      </w:pPr>
      <w:r w:rsidRPr="007803DC">
        <w:rPr>
          <w:rFonts w:asciiTheme="majorHAnsi" w:eastAsia="Calibri" w:hAnsiTheme="majorHAnsi" w:cstheme="majorHAnsi"/>
        </w:rPr>
        <w:t>A relação entre a entidade e o festival é indissociável, uma vez que sua identidade, estrutura organizacional e reconhecimento público foram construídos conjuntamente ao longo dos anos.</w:t>
      </w:r>
    </w:p>
    <w:p w14:paraId="0DC53964" w14:textId="663345AE" w:rsidR="007803DC" w:rsidRPr="007803DC" w:rsidRDefault="007803DC" w:rsidP="007803DC">
      <w:pPr>
        <w:spacing w:before="240" w:after="240"/>
        <w:jc w:val="both"/>
        <w:rPr>
          <w:rFonts w:asciiTheme="majorHAnsi" w:eastAsia="Calibri" w:hAnsiTheme="majorHAnsi" w:cstheme="majorHAnsi"/>
        </w:rPr>
      </w:pPr>
      <w:r>
        <w:rPr>
          <w:rFonts w:asciiTheme="majorHAnsi" w:eastAsia="Calibri" w:hAnsiTheme="majorHAnsi" w:cstheme="majorHAnsi"/>
        </w:rPr>
        <w:t>Desta maneira, a</w:t>
      </w:r>
      <w:r w:rsidRPr="007803DC">
        <w:rPr>
          <w:rFonts w:asciiTheme="majorHAnsi" w:eastAsia="Calibri" w:hAnsiTheme="majorHAnsi" w:cstheme="majorHAnsi"/>
        </w:rPr>
        <w:t xml:space="preserve"> inviabilidade de competição decorre do fato de que nenhuma outra organização possui</w:t>
      </w:r>
      <w:r>
        <w:rPr>
          <w:rFonts w:asciiTheme="majorHAnsi" w:eastAsia="Calibri" w:hAnsiTheme="majorHAnsi" w:cstheme="majorHAnsi"/>
        </w:rPr>
        <w:t xml:space="preserve"> </w:t>
      </w:r>
      <w:r w:rsidRPr="007803DC">
        <w:rPr>
          <w:rFonts w:asciiTheme="majorHAnsi" w:eastAsia="Calibri" w:hAnsiTheme="majorHAnsi" w:cstheme="majorHAnsi"/>
        </w:rPr>
        <w:t>a mesma experiência acumulada</w:t>
      </w:r>
      <w:r>
        <w:rPr>
          <w:rFonts w:asciiTheme="majorHAnsi" w:eastAsia="Calibri" w:hAnsiTheme="majorHAnsi" w:cstheme="majorHAnsi"/>
        </w:rPr>
        <w:t xml:space="preserve">, </w:t>
      </w:r>
      <w:r w:rsidRPr="007803DC">
        <w:rPr>
          <w:rFonts w:asciiTheme="majorHAnsi" w:eastAsia="Calibri" w:hAnsiTheme="majorHAnsi" w:cstheme="majorHAnsi"/>
        </w:rPr>
        <w:t>a mesma legitimidade comunitária</w:t>
      </w:r>
      <w:r>
        <w:rPr>
          <w:rFonts w:asciiTheme="majorHAnsi" w:eastAsia="Calibri" w:hAnsiTheme="majorHAnsi" w:cstheme="majorHAnsi"/>
        </w:rPr>
        <w:t xml:space="preserve">, </w:t>
      </w:r>
      <w:r w:rsidRPr="007803DC">
        <w:rPr>
          <w:rFonts w:asciiTheme="majorHAnsi" w:eastAsia="Calibri" w:hAnsiTheme="majorHAnsi" w:cstheme="majorHAnsi"/>
        </w:rPr>
        <w:t>o mesmo domínio técnico e operacional</w:t>
      </w:r>
      <w:r>
        <w:rPr>
          <w:rFonts w:asciiTheme="majorHAnsi" w:eastAsia="Calibri" w:hAnsiTheme="majorHAnsi" w:cstheme="majorHAnsi"/>
        </w:rPr>
        <w:t xml:space="preserve">, </w:t>
      </w:r>
      <w:r w:rsidRPr="007803DC">
        <w:rPr>
          <w:rFonts w:asciiTheme="majorHAnsi" w:eastAsia="Calibri" w:hAnsiTheme="majorHAnsi" w:cstheme="majorHAnsi"/>
        </w:rPr>
        <w:t xml:space="preserve">a mesma capacidade de articulação institucional. </w:t>
      </w:r>
    </w:p>
    <w:p w14:paraId="21ECD632" w14:textId="3AD4143A" w:rsidR="00766388" w:rsidRPr="007803DC" w:rsidRDefault="007803DC">
      <w:pPr>
        <w:spacing w:before="240" w:after="240"/>
        <w:jc w:val="both"/>
        <w:rPr>
          <w:rFonts w:asciiTheme="majorHAnsi" w:eastAsia="Calibri" w:hAnsiTheme="majorHAnsi" w:cstheme="majorHAnsi"/>
        </w:rPr>
      </w:pPr>
      <w:r w:rsidRPr="007803DC">
        <w:rPr>
          <w:rFonts w:asciiTheme="majorHAnsi" w:eastAsia="Calibri" w:hAnsiTheme="majorHAnsi" w:cstheme="majorHAnsi"/>
        </w:rPr>
        <w:t>Qualquer tentativa de substituição implicaria ruptura da continuidade histórico-cultural do festival, comprometendo sua identidade, qualidade e impacto social</w:t>
      </w:r>
      <w:r w:rsidR="0014023C">
        <w:rPr>
          <w:rFonts w:asciiTheme="majorHAnsi" w:eastAsia="Calibri" w:hAnsiTheme="majorHAnsi" w:cstheme="majorHAnsi"/>
        </w:rPr>
        <w:t xml:space="preserve">, </w:t>
      </w:r>
      <w:r w:rsidR="00A57CB9" w:rsidRPr="007803DC">
        <w:rPr>
          <w:rFonts w:asciiTheme="majorHAnsi" w:eastAsia="Calibri" w:hAnsiTheme="majorHAnsi" w:cstheme="majorHAnsi"/>
        </w:rPr>
        <w:t>descaracterização da proposta e prejuízo à eficácia da política pública</w:t>
      </w:r>
      <w:r>
        <w:rPr>
          <w:rFonts w:asciiTheme="majorHAnsi" w:eastAsia="Calibri" w:hAnsiTheme="majorHAnsi" w:cstheme="majorHAnsi"/>
        </w:rPr>
        <w:t xml:space="preserve"> </w:t>
      </w:r>
      <w:r w:rsidR="00A57CB9" w:rsidRPr="007803DC">
        <w:rPr>
          <w:rFonts w:asciiTheme="majorHAnsi" w:eastAsia="Calibri" w:hAnsiTheme="majorHAnsi" w:cstheme="majorHAnsi"/>
        </w:rPr>
        <w:t>em curso.</w:t>
      </w:r>
    </w:p>
    <w:p w14:paraId="30E4E2C1" w14:textId="31B61A4F" w:rsidR="00766388" w:rsidRPr="007803DC" w:rsidRDefault="009D7E5F">
      <w:pPr>
        <w:pStyle w:val="Ttulo3"/>
        <w:keepNext w:val="0"/>
        <w:keepLines w:val="0"/>
        <w:spacing w:before="280"/>
        <w:jc w:val="both"/>
        <w:rPr>
          <w:rFonts w:asciiTheme="majorHAnsi" w:eastAsia="Calibri" w:hAnsiTheme="majorHAnsi" w:cstheme="majorHAnsi"/>
          <w:b/>
          <w:color w:val="auto"/>
          <w:sz w:val="22"/>
          <w:szCs w:val="22"/>
        </w:rPr>
      </w:pPr>
      <w:bookmarkStart w:id="4" w:name="_9xl37yai3hmd" w:colFirst="0" w:colLast="0"/>
      <w:bookmarkStart w:id="5" w:name="_ss1c4i20ffb0" w:colFirst="0" w:colLast="0"/>
      <w:bookmarkStart w:id="6" w:name="_1fekxd867sf1" w:colFirst="0" w:colLast="0"/>
      <w:bookmarkStart w:id="7" w:name="_lyrb2n8fdbdk" w:colFirst="0" w:colLast="0"/>
      <w:bookmarkStart w:id="8" w:name="_7xmwhm3zka1s" w:colFirst="0" w:colLast="0"/>
      <w:bookmarkStart w:id="9" w:name="_mhby06nxig4j" w:colFirst="0" w:colLast="0"/>
      <w:bookmarkStart w:id="10" w:name="_ror7vsk03tms" w:colFirst="0" w:colLast="0"/>
      <w:bookmarkStart w:id="11" w:name="_iyzjf7xrkmqo" w:colFirst="0" w:colLast="0"/>
      <w:bookmarkEnd w:id="4"/>
      <w:bookmarkEnd w:id="5"/>
      <w:bookmarkEnd w:id="6"/>
      <w:bookmarkEnd w:id="7"/>
      <w:bookmarkEnd w:id="8"/>
      <w:bookmarkEnd w:id="9"/>
      <w:bookmarkEnd w:id="10"/>
      <w:bookmarkEnd w:id="11"/>
      <w:r w:rsidRPr="007803DC">
        <w:rPr>
          <w:rFonts w:asciiTheme="majorHAnsi" w:eastAsia="Calibri" w:hAnsiTheme="majorHAnsi" w:cstheme="majorHAnsi"/>
          <w:b/>
          <w:color w:val="auto"/>
          <w:sz w:val="22"/>
          <w:szCs w:val="22"/>
        </w:rPr>
        <w:t>IV – ALINHAMENTO ÀS POLÍTICAS CULTURAIS</w:t>
      </w:r>
    </w:p>
    <w:p w14:paraId="57DBE13A" w14:textId="77777777"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A proposta está em plena conformidade com os marcos normativos da política cultural, em especial:</w:t>
      </w:r>
    </w:p>
    <w:p w14:paraId="295C431E" w14:textId="77777777" w:rsidR="00766388" w:rsidRPr="007803DC" w:rsidRDefault="0095346A">
      <w:pPr>
        <w:numPr>
          <w:ilvl w:val="0"/>
          <w:numId w:val="1"/>
        </w:numPr>
        <w:spacing w:before="240"/>
        <w:jc w:val="both"/>
        <w:rPr>
          <w:rFonts w:asciiTheme="majorHAnsi" w:eastAsia="Calibri" w:hAnsiTheme="majorHAnsi" w:cstheme="majorHAnsi"/>
        </w:rPr>
      </w:pPr>
      <w:r w:rsidRPr="007803DC">
        <w:rPr>
          <w:rFonts w:asciiTheme="majorHAnsi" w:eastAsia="Calibri" w:hAnsiTheme="majorHAnsi" w:cstheme="majorHAnsi"/>
        </w:rPr>
        <w:t>Constituição Federal, art. 215 – que assegura a todos o pleno exercício dos direitos culturais e o dever do Estado em apoiar e incentivar as manifestações culturais regionais;</w:t>
      </w:r>
    </w:p>
    <w:p w14:paraId="53878F98" w14:textId="77777777" w:rsidR="00766388" w:rsidRPr="007803DC" w:rsidRDefault="0095346A">
      <w:pPr>
        <w:numPr>
          <w:ilvl w:val="0"/>
          <w:numId w:val="1"/>
        </w:numPr>
        <w:jc w:val="both"/>
        <w:rPr>
          <w:rFonts w:asciiTheme="majorHAnsi" w:eastAsia="Calibri" w:hAnsiTheme="majorHAnsi" w:cstheme="majorHAnsi"/>
        </w:rPr>
      </w:pPr>
      <w:r w:rsidRPr="007803DC">
        <w:rPr>
          <w:rFonts w:asciiTheme="majorHAnsi" w:eastAsia="Calibri" w:hAnsiTheme="majorHAnsi" w:cstheme="majorHAnsi"/>
        </w:rPr>
        <w:t>Plano Nacional de Cultura (Lei nº 12.343/2010) – que estabelece como diretriz a valorização da produção audiovisual brasileira;</w:t>
      </w:r>
    </w:p>
    <w:p w14:paraId="129C8ED1" w14:textId="77777777" w:rsidR="00766388" w:rsidRPr="007803DC" w:rsidRDefault="0095346A">
      <w:pPr>
        <w:numPr>
          <w:ilvl w:val="0"/>
          <w:numId w:val="1"/>
        </w:numPr>
        <w:jc w:val="both"/>
        <w:rPr>
          <w:rFonts w:asciiTheme="majorHAnsi" w:eastAsia="Calibri" w:hAnsiTheme="majorHAnsi" w:cstheme="majorHAnsi"/>
        </w:rPr>
      </w:pPr>
      <w:r w:rsidRPr="007803DC">
        <w:rPr>
          <w:rFonts w:asciiTheme="majorHAnsi" w:eastAsia="Calibri" w:hAnsiTheme="majorHAnsi" w:cstheme="majorHAnsi"/>
        </w:rPr>
        <w:t>Plano Estadual de Cultura de Mato Grosso (Lei nº 10.363/2016) – que determina o fomento à economia criativa, a descentralização da cultura e o fortalecimento das expressões identitárias locais;</w:t>
      </w:r>
    </w:p>
    <w:p w14:paraId="1B1F9E2D" w14:textId="77777777" w:rsidR="00766388" w:rsidRPr="007803DC" w:rsidRDefault="0095346A">
      <w:pPr>
        <w:numPr>
          <w:ilvl w:val="0"/>
          <w:numId w:val="1"/>
        </w:numPr>
        <w:spacing w:after="240"/>
        <w:jc w:val="both"/>
        <w:rPr>
          <w:rFonts w:asciiTheme="majorHAnsi" w:eastAsia="Calibri" w:hAnsiTheme="majorHAnsi" w:cstheme="majorHAnsi"/>
        </w:rPr>
      </w:pPr>
      <w:r w:rsidRPr="007803DC">
        <w:rPr>
          <w:rFonts w:asciiTheme="majorHAnsi" w:eastAsia="Calibri" w:hAnsiTheme="majorHAnsi" w:cstheme="majorHAnsi"/>
        </w:rPr>
        <w:t>Lei nº 10.362/2016 (Sistema Estadual de Cultura) – que reconhece a relevância das parcerias com a sociedade civil como vetor de implementação das políticas culturais.</w:t>
      </w:r>
    </w:p>
    <w:p w14:paraId="5C66E9B3" w14:textId="321C1893" w:rsidR="00766388" w:rsidRDefault="0095346A" w:rsidP="009D7E5F">
      <w:pPr>
        <w:spacing w:before="240" w:after="240"/>
        <w:jc w:val="both"/>
        <w:rPr>
          <w:rFonts w:asciiTheme="majorHAnsi" w:eastAsia="Calibri" w:hAnsiTheme="majorHAnsi" w:cstheme="majorHAnsi"/>
        </w:rPr>
      </w:pPr>
      <w:r w:rsidRPr="007803DC">
        <w:rPr>
          <w:rFonts w:asciiTheme="majorHAnsi" w:eastAsia="Calibri" w:hAnsiTheme="majorHAnsi" w:cstheme="majorHAnsi"/>
        </w:rPr>
        <w:lastRenderedPageBreak/>
        <w:t>Ressalta-se, ainda, que o projeto atende aos princípios do interesse público recíproco, sendo construído em regime de cooperação, com corresponsabilidade na execução das metas e objetivos, nos moldes definidos pela Lei nº 13.019/2014.</w:t>
      </w:r>
      <w:bookmarkStart w:id="12" w:name="_1jfko93zasbi" w:colFirst="0" w:colLast="0"/>
      <w:bookmarkEnd w:id="12"/>
    </w:p>
    <w:p w14:paraId="26F0F405" w14:textId="389054AC" w:rsidR="007803DC" w:rsidRPr="007803DC" w:rsidRDefault="007803DC" w:rsidP="007803DC">
      <w:pPr>
        <w:spacing w:before="240" w:after="240"/>
        <w:jc w:val="both"/>
        <w:rPr>
          <w:rFonts w:asciiTheme="majorHAnsi" w:eastAsia="Calibri" w:hAnsiTheme="majorHAnsi" w:cstheme="majorHAnsi"/>
        </w:rPr>
      </w:pPr>
      <w:r>
        <w:rPr>
          <w:rFonts w:asciiTheme="majorHAnsi" w:eastAsia="Calibri" w:hAnsiTheme="majorHAnsi" w:cstheme="majorHAnsi"/>
        </w:rPr>
        <w:t>Outrossim, ressalta-se que</w:t>
      </w:r>
      <w:r w:rsidRPr="007803DC">
        <w:rPr>
          <w:rFonts w:asciiTheme="majorHAnsi" w:eastAsia="Calibri" w:hAnsiTheme="majorHAnsi" w:cstheme="majorHAnsi"/>
        </w:rPr>
        <w:t xml:space="preserve"> projeto contribui diretamente para</w:t>
      </w:r>
      <w:r>
        <w:rPr>
          <w:rFonts w:asciiTheme="majorHAnsi" w:eastAsia="Calibri" w:hAnsiTheme="majorHAnsi" w:cstheme="majorHAnsi"/>
        </w:rPr>
        <w:t xml:space="preserve"> </w:t>
      </w:r>
      <w:r w:rsidRPr="007803DC">
        <w:rPr>
          <w:rFonts w:asciiTheme="majorHAnsi" w:eastAsia="Calibri" w:hAnsiTheme="majorHAnsi" w:cstheme="majorHAnsi"/>
        </w:rPr>
        <w:t>descentralização das políticas culturais</w:t>
      </w:r>
      <w:r>
        <w:rPr>
          <w:rFonts w:asciiTheme="majorHAnsi" w:eastAsia="Calibri" w:hAnsiTheme="majorHAnsi" w:cstheme="majorHAnsi"/>
        </w:rPr>
        <w:t xml:space="preserve">, </w:t>
      </w:r>
      <w:r w:rsidRPr="007803DC">
        <w:rPr>
          <w:rFonts w:asciiTheme="majorHAnsi" w:eastAsia="Calibri" w:hAnsiTheme="majorHAnsi" w:cstheme="majorHAnsi"/>
        </w:rPr>
        <w:t>valorização das expressões artísticas regionais</w:t>
      </w:r>
      <w:r>
        <w:rPr>
          <w:rFonts w:asciiTheme="majorHAnsi" w:eastAsia="Calibri" w:hAnsiTheme="majorHAnsi" w:cstheme="majorHAnsi"/>
        </w:rPr>
        <w:t xml:space="preserve">, </w:t>
      </w:r>
      <w:r w:rsidRPr="007803DC">
        <w:rPr>
          <w:rFonts w:asciiTheme="majorHAnsi" w:eastAsia="Calibri" w:hAnsiTheme="majorHAnsi" w:cstheme="majorHAnsi"/>
        </w:rPr>
        <w:t>fortalecimento da economia criativa</w:t>
      </w:r>
      <w:r>
        <w:rPr>
          <w:rFonts w:asciiTheme="majorHAnsi" w:eastAsia="Calibri" w:hAnsiTheme="majorHAnsi" w:cstheme="majorHAnsi"/>
        </w:rPr>
        <w:t xml:space="preserve">, bem como para </w:t>
      </w:r>
      <w:r w:rsidRPr="007803DC">
        <w:rPr>
          <w:rFonts w:asciiTheme="majorHAnsi" w:eastAsia="Calibri" w:hAnsiTheme="majorHAnsi" w:cstheme="majorHAnsi"/>
        </w:rPr>
        <w:t>ampliação do acesso à cultura.</w:t>
      </w:r>
    </w:p>
    <w:p w14:paraId="7320541D" w14:textId="6FE22348" w:rsidR="00766388" w:rsidRPr="007803DC" w:rsidRDefault="009D7E5F">
      <w:pPr>
        <w:pStyle w:val="Ttulo3"/>
        <w:keepNext w:val="0"/>
        <w:keepLines w:val="0"/>
        <w:spacing w:before="280"/>
        <w:rPr>
          <w:rFonts w:asciiTheme="majorHAnsi" w:eastAsia="Calibri" w:hAnsiTheme="majorHAnsi" w:cstheme="majorHAnsi"/>
          <w:b/>
          <w:color w:val="auto"/>
          <w:sz w:val="22"/>
          <w:szCs w:val="22"/>
        </w:rPr>
      </w:pPr>
      <w:bookmarkStart w:id="13" w:name="_7wszkkeyynl" w:colFirst="0" w:colLast="0"/>
      <w:bookmarkEnd w:id="13"/>
      <w:r w:rsidRPr="007803DC">
        <w:rPr>
          <w:rFonts w:asciiTheme="majorHAnsi" w:eastAsia="Calibri" w:hAnsiTheme="majorHAnsi" w:cstheme="majorHAnsi"/>
          <w:b/>
          <w:color w:val="auto"/>
          <w:sz w:val="22"/>
          <w:szCs w:val="22"/>
        </w:rPr>
        <w:t>V – CONCLUSÃO</w:t>
      </w:r>
    </w:p>
    <w:p w14:paraId="79DBBB14" w14:textId="77777777" w:rsidR="009D7E5F"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Diante do exposto, restam plenamente preenchidos os requisitos legais e técnicos que justificam a inexigibilidade de chamamento público, conforme o artigo 31 da Lei nº 13.019/2014</w:t>
      </w:r>
      <w:r w:rsidR="009D7E5F" w:rsidRPr="007803DC">
        <w:rPr>
          <w:rFonts w:asciiTheme="majorHAnsi" w:eastAsia="Calibri" w:hAnsiTheme="majorHAnsi" w:cstheme="majorHAnsi"/>
        </w:rPr>
        <w:t xml:space="preserve"> e</w:t>
      </w:r>
      <w:r w:rsidRPr="007803DC">
        <w:rPr>
          <w:rFonts w:asciiTheme="majorHAnsi" w:eastAsia="Calibri" w:hAnsiTheme="majorHAnsi" w:cstheme="majorHAnsi"/>
        </w:rPr>
        <w:t xml:space="preserve"> regulamentações estaduais aplicáveis. </w:t>
      </w:r>
    </w:p>
    <w:p w14:paraId="3A47BF71" w14:textId="32B9D958" w:rsidR="00766388" w:rsidRPr="007803DC" w:rsidRDefault="0095346A">
      <w:pPr>
        <w:spacing w:before="240" w:after="240"/>
        <w:jc w:val="both"/>
        <w:rPr>
          <w:rFonts w:asciiTheme="majorHAnsi" w:eastAsia="Calibri" w:hAnsiTheme="majorHAnsi" w:cstheme="majorHAnsi"/>
        </w:rPr>
      </w:pPr>
      <w:r w:rsidRPr="007803DC">
        <w:rPr>
          <w:rFonts w:asciiTheme="majorHAnsi" w:eastAsia="Calibri" w:hAnsiTheme="majorHAnsi" w:cstheme="majorHAnsi"/>
        </w:rPr>
        <w:t xml:space="preserve">A celebração do Termo de Fomento com </w:t>
      </w:r>
      <w:r w:rsidR="007803DC">
        <w:rPr>
          <w:rFonts w:asciiTheme="majorHAnsi" w:eastAsia="Calibri" w:hAnsiTheme="majorHAnsi" w:cstheme="majorHAnsi"/>
        </w:rPr>
        <w:t xml:space="preserve">a </w:t>
      </w:r>
      <w:r w:rsidR="007803DC" w:rsidRPr="007803DC">
        <w:rPr>
          <w:rFonts w:asciiTheme="majorHAnsi" w:eastAsia="Calibri" w:hAnsiTheme="majorHAnsi" w:cstheme="majorHAnsi"/>
        </w:rPr>
        <w:t>Associação Cultural Teatro Faces</w:t>
      </w:r>
      <w:r w:rsidRPr="007803DC">
        <w:rPr>
          <w:rFonts w:asciiTheme="majorHAnsi" w:eastAsia="Calibri" w:hAnsiTheme="majorHAnsi" w:cstheme="majorHAnsi"/>
        </w:rPr>
        <w:t xml:space="preserve"> configura-se como ação legal, legítima e alinhada ao interesse público, devendo ser formalizada com a devida publicação do extrato conforme artigo 32 da referida norma.</w:t>
      </w:r>
    </w:p>
    <w:p w14:paraId="6D8822E5" w14:textId="3DF580F4" w:rsidR="00766388" w:rsidRPr="007803DC" w:rsidRDefault="0095346A">
      <w:pPr>
        <w:spacing w:before="240" w:after="240"/>
        <w:jc w:val="right"/>
        <w:rPr>
          <w:rFonts w:asciiTheme="majorHAnsi" w:eastAsia="Calibri" w:hAnsiTheme="majorHAnsi" w:cstheme="majorHAnsi"/>
        </w:rPr>
      </w:pPr>
      <w:r w:rsidRPr="007803DC">
        <w:rPr>
          <w:rFonts w:asciiTheme="majorHAnsi" w:eastAsia="Calibri" w:hAnsiTheme="majorHAnsi" w:cstheme="majorHAnsi"/>
        </w:rPr>
        <w:t xml:space="preserve">Cuiabá/MT, </w:t>
      </w:r>
      <w:r w:rsidR="007803DC">
        <w:rPr>
          <w:rFonts w:asciiTheme="majorHAnsi" w:eastAsia="Calibri" w:hAnsiTheme="majorHAnsi" w:cstheme="majorHAnsi"/>
        </w:rPr>
        <w:t>6</w:t>
      </w:r>
      <w:r w:rsidRPr="007803DC">
        <w:rPr>
          <w:rFonts w:asciiTheme="majorHAnsi" w:eastAsia="Calibri" w:hAnsiTheme="majorHAnsi" w:cstheme="majorHAnsi"/>
        </w:rPr>
        <w:t xml:space="preserve"> de </w:t>
      </w:r>
      <w:r w:rsidR="009D7E5F" w:rsidRPr="007803DC">
        <w:rPr>
          <w:rFonts w:asciiTheme="majorHAnsi" w:eastAsia="Calibri" w:hAnsiTheme="majorHAnsi" w:cstheme="majorHAnsi"/>
        </w:rPr>
        <w:t>abril</w:t>
      </w:r>
      <w:r w:rsidRPr="007803DC">
        <w:rPr>
          <w:rFonts w:asciiTheme="majorHAnsi" w:eastAsia="Calibri" w:hAnsiTheme="majorHAnsi" w:cstheme="majorHAnsi"/>
        </w:rPr>
        <w:t xml:space="preserve"> de 202</w:t>
      </w:r>
      <w:r w:rsidR="009D7E5F" w:rsidRPr="007803DC">
        <w:rPr>
          <w:rFonts w:asciiTheme="majorHAnsi" w:eastAsia="Calibri" w:hAnsiTheme="majorHAnsi" w:cstheme="majorHAnsi"/>
        </w:rPr>
        <w:t>6.</w:t>
      </w:r>
    </w:p>
    <w:p w14:paraId="1AAFAB06" w14:textId="77777777" w:rsidR="00766388" w:rsidRPr="007803DC" w:rsidRDefault="00766388">
      <w:pPr>
        <w:spacing w:before="240" w:after="240"/>
        <w:jc w:val="center"/>
        <w:rPr>
          <w:rFonts w:asciiTheme="majorHAnsi" w:eastAsia="Calibri" w:hAnsiTheme="majorHAnsi" w:cstheme="majorHAnsi"/>
          <w:b/>
        </w:rPr>
      </w:pPr>
    </w:p>
    <w:p w14:paraId="7AB13B0E" w14:textId="77777777" w:rsidR="00B9688D" w:rsidRPr="007803DC" w:rsidRDefault="00B9688D">
      <w:pPr>
        <w:spacing w:before="240" w:after="240"/>
        <w:jc w:val="center"/>
        <w:rPr>
          <w:rFonts w:asciiTheme="majorHAnsi" w:eastAsia="Calibri" w:hAnsiTheme="majorHAnsi" w:cstheme="majorHAnsi"/>
          <w:b/>
        </w:rPr>
      </w:pPr>
    </w:p>
    <w:p w14:paraId="603CADD6" w14:textId="77777777" w:rsidR="00B9688D" w:rsidRPr="007803DC" w:rsidRDefault="00B9688D">
      <w:pPr>
        <w:spacing w:before="240" w:after="240"/>
        <w:jc w:val="center"/>
        <w:rPr>
          <w:rFonts w:asciiTheme="majorHAnsi" w:eastAsia="Calibri" w:hAnsiTheme="majorHAnsi" w:cstheme="majorHAnsi"/>
          <w:b/>
        </w:rPr>
      </w:pPr>
    </w:p>
    <w:p w14:paraId="6040B428" w14:textId="77777777" w:rsidR="00766388" w:rsidRPr="007803DC" w:rsidRDefault="0095346A">
      <w:pPr>
        <w:spacing w:before="240" w:after="240"/>
        <w:jc w:val="center"/>
        <w:rPr>
          <w:rFonts w:asciiTheme="majorHAnsi" w:eastAsia="Calibri" w:hAnsiTheme="majorHAnsi" w:cstheme="majorHAnsi"/>
        </w:rPr>
      </w:pPr>
      <w:r w:rsidRPr="007803DC">
        <w:rPr>
          <w:rFonts w:asciiTheme="majorHAnsi" w:eastAsia="Calibri" w:hAnsiTheme="majorHAnsi" w:cstheme="majorHAnsi"/>
          <w:b/>
        </w:rPr>
        <w:t>JANDEIVID LOURENÇO MOURA</w:t>
      </w:r>
      <w:r w:rsidRPr="007803DC">
        <w:rPr>
          <w:rFonts w:asciiTheme="majorHAnsi" w:eastAsia="Calibri" w:hAnsiTheme="majorHAnsi" w:cstheme="majorHAnsi"/>
          <w:b/>
        </w:rPr>
        <w:br/>
      </w:r>
      <w:r w:rsidRPr="007803DC">
        <w:rPr>
          <w:rFonts w:asciiTheme="majorHAnsi" w:eastAsia="Calibri" w:hAnsiTheme="majorHAnsi" w:cstheme="majorHAnsi"/>
        </w:rPr>
        <w:t>Secretário Adjunto de Cultura</w:t>
      </w:r>
      <w:r w:rsidRPr="007803DC">
        <w:rPr>
          <w:rFonts w:asciiTheme="majorHAnsi" w:eastAsia="Calibri" w:hAnsiTheme="majorHAnsi" w:cstheme="majorHAnsi"/>
        </w:rPr>
        <w:br/>
        <w:t>Secretaria de Estado de Cultura, Esporte e Lazer</w:t>
      </w:r>
    </w:p>
    <w:sectPr w:rsidR="00766388" w:rsidRPr="007803D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09C"/>
    <w:multiLevelType w:val="hybridMultilevel"/>
    <w:tmpl w:val="AE8235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535CA"/>
    <w:multiLevelType w:val="hybridMultilevel"/>
    <w:tmpl w:val="597417FE"/>
    <w:lvl w:ilvl="0" w:tplc="0C7A1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B20F5A"/>
    <w:multiLevelType w:val="multilevel"/>
    <w:tmpl w:val="585C3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C24064"/>
    <w:multiLevelType w:val="hybridMultilevel"/>
    <w:tmpl w:val="88D25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80847A9"/>
    <w:multiLevelType w:val="multilevel"/>
    <w:tmpl w:val="E80E1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8802BE"/>
    <w:multiLevelType w:val="hybridMultilevel"/>
    <w:tmpl w:val="BDAA93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2A274AE"/>
    <w:multiLevelType w:val="hybridMultilevel"/>
    <w:tmpl w:val="0ED8DE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9357282">
    <w:abstractNumId w:val="2"/>
  </w:num>
  <w:num w:numId="2" w16cid:durableId="1387297912">
    <w:abstractNumId w:val="4"/>
  </w:num>
  <w:num w:numId="3" w16cid:durableId="1539472740">
    <w:abstractNumId w:val="3"/>
  </w:num>
  <w:num w:numId="4" w16cid:durableId="345253929">
    <w:abstractNumId w:val="0"/>
  </w:num>
  <w:num w:numId="5" w16cid:durableId="253786643">
    <w:abstractNumId w:val="5"/>
  </w:num>
  <w:num w:numId="6" w16cid:durableId="1808358782">
    <w:abstractNumId w:val="6"/>
  </w:num>
  <w:num w:numId="7" w16cid:durableId="112107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88"/>
    <w:rsid w:val="0014023C"/>
    <w:rsid w:val="00182AA2"/>
    <w:rsid w:val="003A155B"/>
    <w:rsid w:val="003E23B0"/>
    <w:rsid w:val="004112D5"/>
    <w:rsid w:val="00453554"/>
    <w:rsid w:val="004678B6"/>
    <w:rsid w:val="00506DF8"/>
    <w:rsid w:val="005C1983"/>
    <w:rsid w:val="00766388"/>
    <w:rsid w:val="007803DC"/>
    <w:rsid w:val="00811DEC"/>
    <w:rsid w:val="008462A6"/>
    <w:rsid w:val="00941A8A"/>
    <w:rsid w:val="0095346A"/>
    <w:rsid w:val="009D6D67"/>
    <w:rsid w:val="009D7E5F"/>
    <w:rsid w:val="00A202BB"/>
    <w:rsid w:val="00A46D3B"/>
    <w:rsid w:val="00A57CB9"/>
    <w:rsid w:val="00B42CBB"/>
    <w:rsid w:val="00B61AD2"/>
    <w:rsid w:val="00B9688D"/>
    <w:rsid w:val="00D4274F"/>
    <w:rsid w:val="00EA02F1"/>
    <w:rsid w:val="00F430E2"/>
    <w:rsid w:val="00F831C9"/>
    <w:rsid w:val="00F85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F170"/>
  <w15:docId w15:val="{0A40AD86-E6C6-49E6-BF3A-4EEDC951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84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5140">
      <w:bodyDiv w:val="1"/>
      <w:marLeft w:val="0"/>
      <w:marRight w:val="0"/>
      <w:marTop w:val="0"/>
      <w:marBottom w:val="0"/>
      <w:divBdr>
        <w:top w:val="none" w:sz="0" w:space="0" w:color="auto"/>
        <w:left w:val="none" w:sz="0" w:space="0" w:color="auto"/>
        <w:bottom w:val="none" w:sz="0" w:space="0" w:color="auto"/>
        <w:right w:val="none" w:sz="0" w:space="0" w:color="auto"/>
      </w:divBdr>
    </w:div>
    <w:div w:id="248462948">
      <w:bodyDiv w:val="1"/>
      <w:marLeft w:val="0"/>
      <w:marRight w:val="0"/>
      <w:marTop w:val="0"/>
      <w:marBottom w:val="0"/>
      <w:divBdr>
        <w:top w:val="none" w:sz="0" w:space="0" w:color="auto"/>
        <w:left w:val="none" w:sz="0" w:space="0" w:color="auto"/>
        <w:bottom w:val="none" w:sz="0" w:space="0" w:color="auto"/>
        <w:right w:val="none" w:sz="0" w:space="0" w:color="auto"/>
      </w:divBdr>
    </w:div>
    <w:div w:id="777917693">
      <w:bodyDiv w:val="1"/>
      <w:marLeft w:val="0"/>
      <w:marRight w:val="0"/>
      <w:marTop w:val="0"/>
      <w:marBottom w:val="0"/>
      <w:divBdr>
        <w:top w:val="none" w:sz="0" w:space="0" w:color="auto"/>
        <w:left w:val="none" w:sz="0" w:space="0" w:color="auto"/>
        <w:bottom w:val="none" w:sz="0" w:space="0" w:color="auto"/>
        <w:right w:val="none" w:sz="0" w:space="0" w:color="auto"/>
      </w:divBdr>
    </w:div>
    <w:div w:id="807432498">
      <w:bodyDiv w:val="1"/>
      <w:marLeft w:val="0"/>
      <w:marRight w:val="0"/>
      <w:marTop w:val="0"/>
      <w:marBottom w:val="0"/>
      <w:divBdr>
        <w:top w:val="none" w:sz="0" w:space="0" w:color="auto"/>
        <w:left w:val="none" w:sz="0" w:space="0" w:color="auto"/>
        <w:bottom w:val="none" w:sz="0" w:space="0" w:color="auto"/>
        <w:right w:val="none" w:sz="0" w:space="0" w:color="auto"/>
      </w:divBdr>
    </w:div>
    <w:div w:id="898519049">
      <w:bodyDiv w:val="1"/>
      <w:marLeft w:val="0"/>
      <w:marRight w:val="0"/>
      <w:marTop w:val="0"/>
      <w:marBottom w:val="0"/>
      <w:divBdr>
        <w:top w:val="none" w:sz="0" w:space="0" w:color="auto"/>
        <w:left w:val="none" w:sz="0" w:space="0" w:color="auto"/>
        <w:bottom w:val="none" w:sz="0" w:space="0" w:color="auto"/>
        <w:right w:val="none" w:sz="0" w:space="0" w:color="auto"/>
      </w:divBdr>
    </w:div>
    <w:div w:id="928387682">
      <w:bodyDiv w:val="1"/>
      <w:marLeft w:val="0"/>
      <w:marRight w:val="0"/>
      <w:marTop w:val="0"/>
      <w:marBottom w:val="0"/>
      <w:divBdr>
        <w:top w:val="none" w:sz="0" w:space="0" w:color="auto"/>
        <w:left w:val="none" w:sz="0" w:space="0" w:color="auto"/>
        <w:bottom w:val="none" w:sz="0" w:space="0" w:color="auto"/>
        <w:right w:val="none" w:sz="0" w:space="0" w:color="auto"/>
      </w:divBdr>
    </w:div>
    <w:div w:id="934898437">
      <w:bodyDiv w:val="1"/>
      <w:marLeft w:val="0"/>
      <w:marRight w:val="0"/>
      <w:marTop w:val="0"/>
      <w:marBottom w:val="0"/>
      <w:divBdr>
        <w:top w:val="none" w:sz="0" w:space="0" w:color="auto"/>
        <w:left w:val="none" w:sz="0" w:space="0" w:color="auto"/>
        <w:bottom w:val="none" w:sz="0" w:space="0" w:color="auto"/>
        <w:right w:val="none" w:sz="0" w:space="0" w:color="auto"/>
      </w:divBdr>
    </w:div>
    <w:div w:id="1113748004">
      <w:bodyDiv w:val="1"/>
      <w:marLeft w:val="0"/>
      <w:marRight w:val="0"/>
      <w:marTop w:val="0"/>
      <w:marBottom w:val="0"/>
      <w:divBdr>
        <w:top w:val="none" w:sz="0" w:space="0" w:color="auto"/>
        <w:left w:val="none" w:sz="0" w:space="0" w:color="auto"/>
        <w:bottom w:val="none" w:sz="0" w:space="0" w:color="auto"/>
        <w:right w:val="none" w:sz="0" w:space="0" w:color="auto"/>
      </w:divBdr>
    </w:div>
    <w:div w:id="1180008320">
      <w:bodyDiv w:val="1"/>
      <w:marLeft w:val="0"/>
      <w:marRight w:val="0"/>
      <w:marTop w:val="0"/>
      <w:marBottom w:val="0"/>
      <w:divBdr>
        <w:top w:val="none" w:sz="0" w:space="0" w:color="auto"/>
        <w:left w:val="none" w:sz="0" w:space="0" w:color="auto"/>
        <w:bottom w:val="none" w:sz="0" w:space="0" w:color="auto"/>
        <w:right w:val="none" w:sz="0" w:space="0" w:color="auto"/>
      </w:divBdr>
    </w:div>
    <w:div w:id="1237007814">
      <w:bodyDiv w:val="1"/>
      <w:marLeft w:val="0"/>
      <w:marRight w:val="0"/>
      <w:marTop w:val="0"/>
      <w:marBottom w:val="0"/>
      <w:divBdr>
        <w:top w:val="none" w:sz="0" w:space="0" w:color="auto"/>
        <w:left w:val="none" w:sz="0" w:space="0" w:color="auto"/>
        <w:bottom w:val="none" w:sz="0" w:space="0" w:color="auto"/>
        <w:right w:val="none" w:sz="0" w:space="0" w:color="auto"/>
      </w:divBdr>
    </w:div>
    <w:div w:id="1390301777">
      <w:bodyDiv w:val="1"/>
      <w:marLeft w:val="0"/>
      <w:marRight w:val="0"/>
      <w:marTop w:val="0"/>
      <w:marBottom w:val="0"/>
      <w:divBdr>
        <w:top w:val="none" w:sz="0" w:space="0" w:color="auto"/>
        <w:left w:val="none" w:sz="0" w:space="0" w:color="auto"/>
        <w:bottom w:val="none" w:sz="0" w:space="0" w:color="auto"/>
        <w:right w:val="none" w:sz="0" w:space="0" w:color="auto"/>
      </w:divBdr>
    </w:div>
    <w:div w:id="1529177559">
      <w:bodyDiv w:val="1"/>
      <w:marLeft w:val="0"/>
      <w:marRight w:val="0"/>
      <w:marTop w:val="0"/>
      <w:marBottom w:val="0"/>
      <w:divBdr>
        <w:top w:val="none" w:sz="0" w:space="0" w:color="auto"/>
        <w:left w:val="none" w:sz="0" w:space="0" w:color="auto"/>
        <w:bottom w:val="none" w:sz="0" w:space="0" w:color="auto"/>
        <w:right w:val="none" w:sz="0" w:space="0" w:color="auto"/>
      </w:divBdr>
    </w:div>
    <w:div w:id="155604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Vitor de Araujo Matos</dc:creator>
  <cp:lastModifiedBy>Jhonatan Anfilofev Faria</cp:lastModifiedBy>
  <cp:revision>3</cp:revision>
  <cp:lastPrinted>2025-05-14T18:24:00Z</cp:lastPrinted>
  <dcterms:created xsi:type="dcterms:W3CDTF">2026-04-05T23:13:00Z</dcterms:created>
  <dcterms:modified xsi:type="dcterms:W3CDTF">2026-04-05T23:51:00Z</dcterms:modified>
</cp:coreProperties>
</file>