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305"/>
        <w:gridCol w:w="3305"/>
        <w:gridCol w:w="3305"/>
        <w:gridCol w:w="3308"/>
      </w:tblGrid>
      <w:tr w:rsidR="008257EE" w:rsidRPr="008257EE" w14:paraId="68756BFB" w14:textId="77777777" w:rsidTr="008257EE">
        <w:trPr>
          <w:trHeight w:val="11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C728C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44"/>
                <w:szCs w:val="44"/>
                <w:lang w:eastAsia="pt-BR"/>
                <w14:ligatures w14:val="none"/>
              </w:rPr>
            </w:pPr>
            <w:r w:rsidRPr="008257E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44"/>
                <w:szCs w:val="44"/>
                <w:lang w:eastAsia="pt-BR"/>
                <w14:ligatures w14:val="none"/>
              </w:rPr>
              <w:t>AGENDA REGULATÓRIA AGER/MT - BIÊNIO 2025-2026</w:t>
            </w:r>
          </w:p>
        </w:tc>
      </w:tr>
      <w:tr w:rsidR="008257EE" w:rsidRPr="008257EE" w14:paraId="07B50262" w14:textId="77777777" w:rsidTr="008257E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7BBC73D7" w14:textId="77777777" w:rsidR="008257EE" w:rsidRPr="008257EE" w:rsidRDefault="008257EE" w:rsidP="0082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>1.</w:t>
            </w:r>
            <w:r w:rsidRPr="008257EE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kern w:val="0"/>
                <w:sz w:val="14"/>
                <w:szCs w:val="14"/>
                <w:lang w:eastAsia="pt-BR"/>
                <w14:ligatures w14:val="none"/>
              </w:rPr>
              <w:t xml:space="preserve">   </w:t>
            </w: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>Energia Elétrica</w:t>
            </w:r>
          </w:p>
        </w:tc>
      </w:tr>
      <w:tr w:rsidR="008257EE" w:rsidRPr="008257EE" w14:paraId="4A4DED4B" w14:textId="77777777" w:rsidTr="008257EE">
        <w:trPr>
          <w:trHeight w:val="31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29261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  <w:t>#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3A64A6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  <w:t>Macrotema</w:t>
            </w:r>
            <w:proofErr w:type="spellEnd"/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81C87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F4055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  <w:t>Objetivo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7D0C4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lang w:eastAsia="pt-BR"/>
                <w14:ligatures w14:val="none"/>
              </w:rPr>
              <w:t>Identificação</w:t>
            </w:r>
          </w:p>
        </w:tc>
      </w:tr>
      <w:tr w:rsidR="008257EE" w:rsidRPr="008257EE" w14:paraId="56876150" w14:textId="77777777" w:rsidTr="008257EE">
        <w:trPr>
          <w:trHeight w:val="125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31B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CAD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Governança e Cooperação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A5B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Fiscalização Descentralizada (Energia Elétrica)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407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procedimento para realização das atividades descentralizadas de fiscalização e penalidades dos serviços de energia elétrica.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CC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665CC584" w14:textId="77777777" w:rsidTr="008257E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22AD1DCB" w14:textId="77777777" w:rsidR="008257EE" w:rsidRPr="008257EE" w:rsidRDefault="008257EE" w:rsidP="0082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>2.</w:t>
            </w:r>
            <w:r w:rsidRPr="008257EE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kern w:val="0"/>
                <w:sz w:val="14"/>
                <w:szCs w:val="14"/>
                <w:lang w:eastAsia="pt-BR"/>
                <w14:ligatures w14:val="none"/>
              </w:rPr>
              <w:t xml:space="preserve">   </w:t>
            </w: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 xml:space="preserve">Ferrovia </w:t>
            </w:r>
          </w:p>
        </w:tc>
      </w:tr>
      <w:tr w:rsidR="008257EE" w:rsidRPr="008257EE" w14:paraId="41DC4234" w14:textId="77777777" w:rsidTr="008257EE">
        <w:trPr>
          <w:trHeight w:val="10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51D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71E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BF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Fiscalização e Penalidades (Sistema Ferroviário)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58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procedimento, parâmetros e critérios para fiscalização e penalidades do Sistema Ferroviário do Estado (SFE/MT).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BE3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14F4A33A" w14:textId="77777777" w:rsidTr="008257E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39E4AE04" w14:textId="77777777" w:rsidR="008257EE" w:rsidRPr="008257EE" w:rsidRDefault="008257EE" w:rsidP="0082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>3.</w:t>
            </w:r>
            <w:r w:rsidRPr="008257EE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kern w:val="0"/>
                <w:sz w:val="14"/>
                <w:szCs w:val="14"/>
                <w:lang w:eastAsia="pt-BR"/>
                <w14:ligatures w14:val="none"/>
              </w:rPr>
              <w:t xml:space="preserve">   </w:t>
            </w: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 xml:space="preserve">Gás Canalizado  </w:t>
            </w:r>
          </w:p>
        </w:tc>
      </w:tr>
      <w:tr w:rsidR="008257EE" w:rsidRPr="008257EE" w14:paraId="47AAB40F" w14:textId="77777777" w:rsidTr="008257EE">
        <w:trPr>
          <w:trHeight w:val="10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9E6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569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Econômico-Tarifária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1A4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Metodologia WACC (Gás Canalizado)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D0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Dispor sobre a metodologia de cálculo do Custo Médio Ponderado de Capital (WACC) para revisões tarifárias do gás canalizado.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80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5FB6251F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EC9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EF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D3F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Regulamentação da Lei nº 7939/2003, Art. 2º, §6º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81D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Regulamentar o § 6º, art. 2º da Lei Estadual nº 7939/2003 para adequação e atualização das condições do § 1º.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054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042CC368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63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C8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Econômico-Tarifária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2E5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Regulamentação da Lei nº 7939/2003, Art. 7º, §2º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CB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Regulamentar o § 2º, art. 7º da Lei Estadual nº 7939/2003 sobre forma e periodicidade do pagamento da taxa.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C62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73A2CB03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77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3.4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93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Econômico-Tarifária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503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Regulamentação de Descontos (Lei nº 7939/2003)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06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Regulamentar as condições para a concessão de descontos conforme parágrafo único da Lei nº 7939/2003.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5E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053135C2" w14:textId="77777777" w:rsidTr="008257EE">
        <w:trPr>
          <w:trHeight w:val="10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DB9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E0F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Governança e Cooperação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ED2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Comissão Tripartite de Fiscalização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67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Regulamentar e instituir a comissão tripartite para fiscalização dos serviços concedidos (Decreto nº 1760/2023, art. 15).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9E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1AE8B7C6" w14:textId="77777777" w:rsidTr="008257EE">
        <w:trPr>
          <w:trHeight w:val="10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7D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0EC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D2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Fiscalização e Penalidades (Gás Canalizado)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C0C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procedimento, parâmetros e critérios para fiscalização e penalidades dos serviços de distribuição de gás canalizado.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05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2F88A6A5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F81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63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9D6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Padrões de Qualidade (Gás Canalizado)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FA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padrões de qualidade para os serviços públicos de distribuição de gás canalizado.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F8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16AA334D" w14:textId="77777777" w:rsidTr="008257E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286DC84E" w14:textId="77777777" w:rsidR="008257EE" w:rsidRPr="008257EE" w:rsidRDefault="008257EE" w:rsidP="0082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>4.</w:t>
            </w:r>
            <w:r w:rsidRPr="008257EE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kern w:val="0"/>
                <w:sz w:val="14"/>
                <w:szCs w:val="14"/>
                <w:lang w:eastAsia="pt-BR"/>
                <w14:ligatures w14:val="none"/>
              </w:rPr>
              <w:t xml:space="preserve">   </w:t>
            </w: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 xml:space="preserve">Rodovia  </w:t>
            </w:r>
          </w:p>
        </w:tc>
      </w:tr>
      <w:tr w:rsidR="008257EE" w:rsidRPr="008257EE" w14:paraId="4ECEC0F5" w14:textId="77777777" w:rsidTr="008257EE">
        <w:trPr>
          <w:trHeight w:val="10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81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F9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Governança e Cooperação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18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Fiscalização de Rodovias Delegadas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FEF9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mecanismos formais para planejamento, execução e documentação da fiscalização de rodovias delegadas.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6044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AGER-PRO-2022/0182</w:t>
            </w:r>
          </w:p>
        </w:tc>
      </w:tr>
      <w:tr w:rsidR="008257EE" w:rsidRPr="008257EE" w14:paraId="4B6BEA94" w14:textId="77777777" w:rsidTr="008257EE">
        <w:trPr>
          <w:trHeight w:val="1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4FF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C1B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7E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Revisão Contratual – Concessões de Rodovias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8D2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Normativa para disciplinar o fluxo, os prazos e os critérios para os processos de revisão contratual (ordinária e extraordinária) dos contratos de concessão de rodovias.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26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21114BC1" w14:textId="77777777" w:rsidTr="008257E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0612FA19" w14:textId="77777777" w:rsidR="008257EE" w:rsidRPr="008257EE" w:rsidRDefault="008257EE" w:rsidP="0082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>5.</w:t>
            </w:r>
            <w:r w:rsidRPr="008257EE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kern w:val="0"/>
                <w:sz w:val="14"/>
                <w:szCs w:val="14"/>
                <w:lang w:eastAsia="pt-BR"/>
                <w14:ligatures w14:val="none"/>
              </w:rPr>
              <w:t xml:space="preserve">   </w:t>
            </w: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 xml:space="preserve">Saneamento   </w:t>
            </w:r>
          </w:p>
        </w:tc>
      </w:tr>
      <w:tr w:rsidR="008257EE" w:rsidRPr="008257EE" w14:paraId="284CD8E9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73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A9A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5DD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1/2021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93D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87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0D0BB896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30A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072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3B8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3/2023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9F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7A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AGER-PRO-2025/02382</w:t>
            </w:r>
          </w:p>
        </w:tc>
      </w:tr>
      <w:tr w:rsidR="008257EE" w:rsidRPr="008257EE" w14:paraId="4CC35525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7F4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ADB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A5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4/2023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4A1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EB9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47DED457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428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04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34D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5/2023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0D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970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AGER-PRO-2025/02383</w:t>
            </w:r>
          </w:p>
        </w:tc>
      </w:tr>
      <w:tr w:rsidR="008257EE" w:rsidRPr="008257EE" w14:paraId="611F88E3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DD8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632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D5D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6/2023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761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41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AGER-PRO-2025/02381</w:t>
            </w:r>
          </w:p>
        </w:tc>
      </w:tr>
      <w:tr w:rsidR="008257EE" w:rsidRPr="008257EE" w14:paraId="76520109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A4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92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25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7/2023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60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6CA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6DABC808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E74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7F7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E49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8/2023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E44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F20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AGER-PRO-2025/02380</w:t>
            </w:r>
          </w:p>
        </w:tc>
      </w:tr>
      <w:tr w:rsidR="008257EE" w:rsidRPr="008257EE" w14:paraId="42484B5F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D99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58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DBF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9/2023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68D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5B4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7BBC9D9B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452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B4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A2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10/2023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8A8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B7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46FF09B9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C8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67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8DA4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11/2023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61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84B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AGER-PRO-2025/02383</w:t>
            </w:r>
          </w:p>
        </w:tc>
      </w:tr>
      <w:tr w:rsidR="008257EE" w:rsidRPr="008257EE" w14:paraId="1F0105CB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C77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D29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07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de Referência ANA Nº 12/2023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70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resolução para adequação à NR.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97F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36195263" w14:textId="77777777" w:rsidTr="008257E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0547FF49" w14:textId="77777777" w:rsidR="008257EE" w:rsidRPr="008257EE" w:rsidRDefault="008257EE" w:rsidP="0082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>6.</w:t>
            </w:r>
            <w:r w:rsidRPr="008257EE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kern w:val="0"/>
                <w:sz w:val="14"/>
                <w:szCs w:val="14"/>
                <w:lang w:eastAsia="pt-BR"/>
                <w14:ligatures w14:val="none"/>
              </w:rPr>
              <w:t xml:space="preserve">   </w:t>
            </w: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FFFFFF"/>
                <w:kern w:val="0"/>
                <w:sz w:val="28"/>
                <w:szCs w:val="28"/>
                <w:lang w:eastAsia="pt-BR"/>
                <w14:ligatures w14:val="none"/>
              </w:rPr>
              <w:t xml:space="preserve">TRANSPORTE COLETIVO RODOVIÁRIO IINTERMUNICIPAL DE PASSAGEIROS </w:t>
            </w:r>
          </w:p>
        </w:tc>
      </w:tr>
      <w:tr w:rsidR="008257EE" w:rsidRPr="008257EE" w14:paraId="28C73EA1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62A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6D7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756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Tolerância de Atrasos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DF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Criar regra de tolerância para atrasos justificados nos horários de partida.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CD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AGER-PRO-2024/01083</w:t>
            </w:r>
          </w:p>
        </w:tc>
      </w:tr>
      <w:tr w:rsidR="008257EE" w:rsidRPr="008257EE" w14:paraId="0ACDB400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DB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3E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395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Uso de Veículos de Terceiros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9F9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Possibilitar o uso de veículos de terceiros em casos excepcionais.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32C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AGER-PRO-2022/01243 (AGER-CIN-2023/01494)</w:t>
            </w:r>
          </w:p>
        </w:tc>
      </w:tr>
      <w:tr w:rsidR="008257EE" w:rsidRPr="008257EE" w14:paraId="08C284CF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91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8DD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Econômico-Tarifária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A2A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Diferença Tarifária (STCRIP)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A21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Disciplinar a diferença mínima entre tarifas básica e diferenciada do STCRIP.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E85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AGER-PRO-2024/01668</w:t>
            </w:r>
          </w:p>
        </w:tc>
      </w:tr>
      <w:tr w:rsidR="008257EE" w:rsidRPr="008257EE" w14:paraId="40266EBD" w14:textId="77777777" w:rsidTr="008257EE">
        <w:trPr>
          <w:trHeight w:val="10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5B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68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Governança e Cooperação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61D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Selo Turismo Legal (Fretamento)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A02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Definir procedimentos para concessão do Selo Turismo Legal a prestadores de fretamento turístico com situação regular.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A5B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AGER-PRO-2022/03092</w:t>
            </w:r>
          </w:p>
        </w:tc>
      </w:tr>
      <w:tr w:rsidR="008257EE" w:rsidRPr="008257EE" w14:paraId="5236B1C5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0A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8F3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B16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Publicidade em Veículos (STCRIP):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7D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Disciplinar a divulgação de publicidade de utilidade pública nos veículos do STCRIP.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F6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AGER-PRO-2022/00245</w:t>
            </w:r>
          </w:p>
        </w:tc>
      </w:tr>
      <w:tr w:rsidR="008257EE" w:rsidRPr="008257EE" w14:paraId="4189366A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1F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E3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D30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 Alternativo Intermunicipal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140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Regulamentar a operação do transporte alternativo intermunicipal.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31E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AGER-PRO-2023/00424</w:t>
            </w:r>
          </w:p>
        </w:tc>
      </w:tr>
      <w:tr w:rsidR="008257EE" w:rsidRPr="008257EE" w14:paraId="0E8A11C9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6AC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5DA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7C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 Intermunicipal por Táxis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3C0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Regulamentar o limite e o alcance do transporte intermunicipal realizado por táxis.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1E3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8257EE" w:rsidRPr="008257EE" w14:paraId="29B326E6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DA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C45D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Econômico-Tarifária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17E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Manual de Revisão Contratual (STCRIP)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A76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Elaborar resolução com Manual para metodologia de revisão ordinária de contratos e concessões do STCRIP.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FF1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AGER-PRO-2022/01731</w:t>
            </w:r>
          </w:p>
        </w:tc>
      </w:tr>
      <w:tr w:rsidR="008257EE" w:rsidRPr="008257EE" w14:paraId="7EB886AB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08D7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E4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431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 Gratuito de Crianças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38B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Definir regras para transporte gratuito de crianças até 5 anos no mesmo </w:t>
            </w:r>
            <w:proofErr w:type="gramStart"/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assento</w:t>
            </w:r>
            <w:proofErr w:type="gramEnd"/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responsável.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591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AGER-PRO-2022/02255</w:t>
            </w:r>
          </w:p>
        </w:tc>
      </w:tr>
      <w:tr w:rsidR="008257EE" w:rsidRPr="008257EE" w14:paraId="731BAF73" w14:textId="77777777" w:rsidTr="008257EE">
        <w:trPr>
          <w:trHeight w:val="10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A9F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99D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9C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de Embarque e Terminais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35E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Disciplinar as regras de concessão e utilização de pontos de embarque/desembarque, paradas e terminais.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369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AGER-PRO-2022/00323</w:t>
            </w:r>
          </w:p>
        </w:tc>
      </w:tr>
      <w:tr w:rsidR="008257EE" w:rsidRPr="008257EE" w14:paraId="118782A5" w14:textId="77777777" w:rsidTr="008257EE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B5B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096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Governança e Cooperação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B98A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Validade de Documentos (Mercosul)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9DF4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Validade de documentação no Brasil para imigrantes nacionais das federações do Mercosul.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63A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AGER-PRO-2024/02068</w:t>
            </w:r>
          </w:p>
        </w:tc>
      </w:tr>
      <w:tr w:rsidR="008257EE" w:rsidRPr="008257EE" w14:paraId="1CC414B9" w14:textId="77777777" w:rsidTr="008257EE">
        <w:trPr>
          <w:trHeight w:val="5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085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7A38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Regulação Institucional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042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Programa de Fidelidade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0C9E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Programas de Fidelidade no Setor de Transporte de Passageiros.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EAC" w14:textId="77777777" w:rsidR="008257EE" w:rsidRPr="008257EE" w:rsidRDefault="008257EE" w:rsidP="008257E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57EE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AGER-PRO-2024/02666</w:t>
            </w:r>
          </w:p>
        </w:tc>
      </w:tr>
    </w:tbl>
    <w:p w14:paraId="06045076" w14:textId="77777777" w:rsidR="00AF5A5A" w:rsidRDefault="00AF5A5A"/>
    <w:sectPr w:rsidR="00AF5A5A" w:rsidSect="008257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EE"/>
    <w:rsid w:val="008257EE"/>
    <w:rsid w:val="008D595E"/>
    <w:rsid w:val="00A05A71"/>
    <w:rsid w:val="00A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CBFF"/>
  <w15:chartTrackingRefBased/>
  <w15:docId w15:val="{FFFD4FCC-0F6F-44D1-82D4-2D94C84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825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5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5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5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5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5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5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5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57E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57E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57E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57E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57EE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57E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57EE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57E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57EE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5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57E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5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57E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57EE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57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57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57EE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5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Jucemara Godinho</dc:creator>
  <cp:keywords/>
  <dc:description/>
  <cp:lastModifiedBy>Jucemara Godinho</cp:lastModifiedBy>
  <cp:revision>1</cp:revision>
  <dcterms:created xsi:type="dcterms:W3CDTF">2025-12-09T01:03:00Z</dcterms:created>
  <dcterms:modified xsi:type="dcterms:W3CDTF">2025-12-09T01:09:00Z</dcterms:modified>
</cp:coreProperties>
</file>