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Processo Administrativo Disciplinar (PAD) </w:t>
      </w:r>
      <w:r w:rsidDel="00000000" w:rsidR="00000000" w:rsidRPr="00000000">
        <w:rPr>
          <w:rFonts w:ascii="Times New Roman" w:cs="Times New Roman" w:eastAsia="Times New Roman" w:hAnsi="Times New Roman"/>
          <w:sz w:val="24"/>
          <w:szCs w:val="24"/>
          <w:highlight w:val="yellow"/>
          <w:rtl w:val="0"/>
        </w:rPr>
        <w:t xml:space="preserve"> XXXX</w:t>
      </w:r>
    </w:p>
    <w:p w:rsidR="00000000" w:rsidDel="00000000" w:rsidP="00000000" w:rsidRDefault="00000000" w:rsidRPr="00000000" w14:paraId="00000002">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Acusado: </w:t>
      </w:r>
      <w:r w:rsidDel="00000000" w:rsidR="00000000" w:rsidRPr="00000000">
        <w:rPr>
          <w:rFonts w:ascii="Times New Roman" w:cs="Times New Roman" w:eastAsia="Times New Roman" w:hAnsi="Times New Roman"/>
          <w:sz w:val="24"/>
          <w:szCs w:val="24"/>
          <w:highlight w:val="yellow"/>
          <w:rtl w:val="0"/>
        </w:rPr>
        <w:t xml:space="preserve">XXXXX </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DESPACHO DE INDICIAÇÃO OU DE NÃO INDICIAÇÃO/EXCULPAÇÃO (a depender do caso concreto)</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Comissão Processante, em conformidade com o art. 188 da Lei Complementar nº 04, de 15/10/1990, indicia (OU NÃO INDICIA) o senhor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brasileiro, inscrito no CPF sob o nº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RG nº </w:t>
      </w:r>
      <w:r w:rsidDel="00000000" w:rsidR="00000000" w:rsidRPr="00000000">
        <w:rPr>
          <w:rFonts w:ascii="Times New Roman" w:cs="Times New Roman" w:eastAsia="Times New Roman" w:hAnsi="Times New Roman"/>
          <w:sz w:val="24"/>
          <w:szCs w:val="24"/>
          <w:highlight w:val="yellow"/>
          <w:rtl w:val="0"/>
        </w:rPr>
        <w:t xml:space="preserve">XXXX </w:t>
      </w:r>
      <w:r w:rsidDel="00000000" w:rsidR="00000000" w:rsidRPr="00000000">
        <w:rPr>
          <w:rFonts w:ascii="Times New Roman" w:cs="Times New Roman" w:eastAsia="Times New Roman" w:hAnsi="Times New Roman"/>
          <w:sz w:val="24"/>
          <w:szCs w:val="24"/>
          <w:rtl w:val="0"/>
        </w:rPr>
        <w:t xml:space="preserve">, residente e domiciliado</w:t>
      </w:r>
      <w:r w:rsidDel="00000000" w:rsidR="00000000" w:rsidRPr="00000000">
        <w:rPr>
          <w:rFonts w:ascii="Times New Roman" w:cs="Times New Roman" w:eastAsia="Times New Roman" w:hAnsi="Times New Roman"/>
          <w:sz w:val="24"/>
          <w:szCs w:val="24"/>
          <w:highlight w:val="yellow"/>
          <w:rtl w:val="0"/>
        </w:rPr>
        <w:t xml:space="preserve"> XXXXX,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CARGO XXX</w:t>
      </w:r>
      <w:r w:rsidDel="00000000" w:rsidR="00000000" w:rsidRPr="00000000">
        <w:rPr>
          <w:rFonts w:ascii="Times New Roman" w:cs="Times New Roman" w:eastAsia="Times New Roman" w:hAnsi="Times New Roman"/>
          <w:sz w:val="24"/>
          <w:szCs w:val="24"/>
          <w:rtl w:val="0"/>
        </w:rPr>
        <w:t xml:space="preserve">, matrícula funcional nº </w:t>
      </w:r>
      <w:r w:rsidDel="00000000" w:rsidR="00000000" w:rsidRPr="00000000">
        <w:rPr>
          <w:rFonts w:ascii="Times New Roman" w:cs="Times New Roman" w:eastAsia="Times New Roman" w:hAnsi="Times New Roman"/>
          <w:sz w:val="24"/>
          <w:szCs w:val="24"/>
          <w:highlight w:val="yellow"/>
          <w:rtl w:val="0"/>
        </w:rPr>
        <w:t xml:space="preserve">XXXX</w:t>
      </w:r>
      <w:r w:rsidDel="00000000" w:rsidR="00000000" w:rsidRPr="00000000">
        <w:rPr>
          <w:rFonts w:ascii="Times New Roman" w:cs="Times New Roman" w:eastAsia="Times New Roman" w:hAnsi="Times New Roman"/>
          <w:sz w:val="24"/>
          <w:szCs w:val="24"/>
          <w:rtl w:val="0"/>
        </w:rPr>
        <w:t xml:space="preserve">, que passa a ser tratado doravante como </w:t>
      </w:r>
      <w:r w:rsidDel="00000000" w:rsidR="00000000" w:rsidRPr="00000000">
        <w:rPr>
          <w:rFonts w:ascii="Times New Roman" w:cs="Times New Roman" w:eastAsia="Times New Roman" w:hAnsi="Times New Roman"/>
          <w:b w:val="1"/>
          <w:sz w:val="24"/>
          <w:szCs w:val="24"/>
          <w:rtl w:val="0"/>
        </w:rPr>
        <w:t xml:space="preserve">indiciado (OU </w:t>
      </w:r>
      <w:r w:rsidDel="00000000" w:rsidR="00000000" w:rsidRPr="00000000">
        <w:rPr>
          <w:rFonts w:ascii="Times New Roman" w:cs="Times New Roman" w:eastAsia="Times New Roman" w:hAnsi="Times New Roman"/>
          <w:sz w:val="24"/>
          <w:szCs w:val="24"/>
          <w:rtl w:val="0"/>
        </w:rPr>
        <w:t xml:space="preserve">POIS IDENTIFICOU ELEMENTOS QUE DEMONSTRAM QUE A CONDUTA DO SERVIDOR … É ATÍPICA/ESCUSÁVEL/INEXISTENTE EM RAZÃO DE …. ASSIM, PELO(S) MOTIVO(S) EXPOSTO(S) NÃO PROMOVE O INDICIAMENTO ESTABELECIDO NO ART. 188 DA LC 04/1990), e ratifica os fatos a ele imputados na portaria inaugural, com as respectivas provas, que motivaram a instauração deste processo administrativo disciplinar e a emissão desta manifestação deliberativa da Comissão.</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FATOS IMPUTADOS</w:t>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INDICAR OS FATOS IMPUTADOS (CONSTAM NA PORTARIA)</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MATERIALIDADE:</w:t>
      </w:r>
    </w:p>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INDICAR OS ELEMENTOS DE INFORMAÇÃO (OS QUE FUNDAMENTARAM A INSTAURAÇÃO E OS PRODUZIDOS NA INSTRUÇÃO)  QUE “MATERIALIZAM” OS FATOS IMPUTADOS OU EXCLUEM AS IMPUTAÇÕES (INDICAR FLS. ONDE SE LOCALIZAM) - </w:t>
      </w:r>
    </w:p>
    <w:p w:rsidR="00000000" w:rsidDel="00000000" w:rsidP="00000000" w:rsidRDefault="00000000" w:rsidRPr="00000000" w14:paraId="000000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NORMAS ESTATUTÁRIAS DISCIPLINARES INFRINGIDAS:</w:t>
      </w:r>
    </w:p>
    <w:p w:rsidR="00000000" w:rsidDel="00000000" w:rsidP="00000000" w:rsidRDefault="00000000" w:rsidRPr="00000000" w14:paraId="0000001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INDICAR OS ARTIGOS E INCISOS INFRINGIDOS </w:t>
      </w:r>
    </w:p>
    <w:p w:rsidR="00000000" w:rsidDel="00000000" w:rsidP="00000000" w:rsidRDefault="00000000" w:rsidRPr="00000000" w14:paraId="00000018">
      <w:pPr>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CONDUTAS REPROVÁVEIS:</w:t>
      </w:r>
    </w:p>
    <w:p w:rsidR="00000000" w:rsidDel="00000000" w:rsidP="00000000" w:rsidRDefault="00000000" w:rsidRPr="00000000" w14:paraId="0000001B">
      <w:pPr>
        <w:jc w:val="center"/>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INDICAR AS CONDUTAS…</w:t>
      </w:r>
    </w:p>
    <w:p w:rsidR="00000000" w:rsidDel="00000000" w:rsidP="00000000" w:rsidRDefault="00000000" w:rsidRPr="00000000" w14:paraId="0000001D">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NOTIFICAÇÃO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concluída a análise do conjunto probatório, dos atos praticados e suas consequentes subsunções aos teores das normas reputadas por violadas, nos termos do artigo 188 da Lei Complementar nº 04 de 1990, o indiciado e a sua advogada serão notificados a respeito deste termo de indiciamento, bem como para apresentação da defesa final no prazo de até 10 (dez) dias, na forma do artigo 94 da Lei Complementar nº 207 de 2004. (ATENTAR PARA O PRAZO DE 20 DIAS QUANDO HOUVER MAIS DE UM ACUSADO)</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DE NÃO INDICIAMENTO: </w:t>
        <w:tab/>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concluída a análise do conjunto probatório, a servidora e a </w:t>
        <w:tab/>
        <w:t xml:space="preserve">sua defesa deverão ser notificadas a respeito do não </w:t>
        <w:tab/>
        <w:t xml:space="preserve">indiciamento, bem como para apresentação da defesa final no prazo de até 20 (dias) dias (MAIS DE UM ACUSADO), na forma do § 1º do artigo 94 da Lei Complementar nº 207 de 2004, sob o alerta de que a manifestação da comissão tem caráter opinativo, assim cabe à defesa, independentemente do posicionamento da comissão processante, manifestar-se sob a plenitude dos fatos imputados que serão analisados pela autoridade julgadora.</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Cuiabá-MT, … de …. de 202...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MEMBRO                                                                                                       MEMBRO</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