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4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SECRETÁRIO DE ESTADO XXX DE MATO GROSSO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uso de suas atribuições legais conferidas pelos artigos 69 e 75, §1º da Lei Complementar nº 207/2004, alterada pelas Leis Complementares nº 213/2005, 550/2014 e 584/2017:</w:t>
      </w:r>
    </w:p>
    <w:p w:rsidR="00000000" w:rsidDel="00000000" w:rsidP="00000000" w:rsidRDefault="00000000" w:rsidRPr="00000000" w14:paraId="00000005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teor contido no processo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noticia supostas irregularidades na conduta funcional 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LOTAÇÃO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por, em tese,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SÍNTESE DA CONDUTA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Agindo assim, o referido servidor infringiu, em tese,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MENCIONAR OS ARTIGOS E INCISOS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todos da LC 04/90.</w:t>
      </w:r>
    </w:p>
    <w:p w:rsidR="00000000" w:rsidDel="00000000" w:rsidP="00000000" w:rsidRDefault="00000000" w:rsidRPr="00000000" w14:paraId="00000008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Considerando, ainda, a necessidade de observância das garantias constitucionais do Devido Processo Legal, da Ampla Defesa e do Contraditório, nos termos do artigo 5º, inciso LV, da Constituição Federal e do artigo 10, inciso X, da Constituição Estadual.</w:t>
      </w:r>
    </w:p>
    <w:p w:rsidR="00000000" w:rsidDel="00000000" w:rsidP="00000000" w:rsidRDefault="00000000" w:rsidRPr="00000000" w14:paraId="00000009">
      <w:pPr>
        <w:spacing w:before="20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 E S O L V 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Instaurar Processo Administrativo Disciplinar de rito ordinário, designando os servidores abaixo relacionados para, sob a presidência do primeiro, procederem à apuração dos fatos, em tese, praticados pelo 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XXXX;</w:t>
      </w:r>
    </w:p>
    <w:p w:rsidR="00000000" w:rsidDel="00000000" w:rsidP="00000000" w:rsidRDefault="00000000" w:rsidRPr="00000000" w14:paraId="0000000D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XXXX;</w:t>
      </w:r>
    </w:p>
    <w:p w:rsidR="00000000" w:rsidDel="00000000" w:rsidP="00000000" w:rsidRDefault="00000000" w:rsidRPr="00000000" w14:paraId="0000000E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XXXX.</w:t>
      </w:r>
    </w:p>
    <w:p w:rsidR="00000000" w:rsidDel="00000000" w:rsidP="00000000" w:rsidRDefault="00000000" w:rsidRPr="00000000" w14:paraId="0000000F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Determinar o início das atividades no prazo de 10 (dez) dias da publicação do extrato desta Portaria em Diário Oficial do Estado, devendo a conclusão ocorrer no prazo de 60 (sessenta) dias a contar da data da citação dos acusados, admitindo sua prorrogação por igual prazo, quando as circunstâncias o exigirem, mediante a solicitação à autoridade que determinou sua instauração, em conformidade com o artigo 75, § 1º, da Lei Complementar Estadual nº 207/2004.</w:t>
      </w:r>
    </w:p>
    <w:p w:rsidR="00000000" w:rsidDel="00000000" w:rsidP="00000000" w:rsidRDefault="00000000" w:rsidRPr="00000000" w14:paraId="00000010">
      <w:pPr>
        <w:spacing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Determinar o afastamento do servidor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matrícula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das atividades, conforme art. 71, da Lei Complementar nº. 207/2004.</w:t>
      </w:r>
    </w:p>
    <w:p w:rsidR="00000000" w:rsidDel="00000000" w:rsidP="00000000" w:rsidRDefault="00000000" w:rsidRPr="00000000" w14:paraId="00000011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4º.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Portaria entra em vigor na data da publicação de seu extrato.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o extrato da portaria e CUMPRA-SE.</w:t>
      </w:r>
    </w:p>
    <w:p w:rsidR="00000000" w:rsidDel="00000000" w:rsidP="00000000" w:rsidRDefault="00000000" w:rsidRPr="00000000" w14:paraId="00000014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XX de XXXX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DA AUTORIDADE</w:t>
      </w:r>
    </w:p>
    <w:p w:rsidR="00000000" w:rsidDel="00000000" w:rsidP="00000000" w:rsidRDefault="00000000" w:rsidRPr="00000000" w14:paraId="00000017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SECRETÁRIO _____</w:t>
      </w:r>
    </w:p>
    <w:p w:rsidR="00000000" w:rsidDel="00000000" w:rsidP="00000000" w:rsidRDefault="00000000" w:rsidRPr="00000000" w14:paraId="00000018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DA 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Extrato da Portaria 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meio da qual instaura-se Processo Administrativo Disciplinar de rito ordinário com fulcro nos artigos 69 e 75, §1º da Lei Complementar n. 207/2004, alterada pelas Leis Complementares nº 213/2005, 550/2014 e 584/2017. Designa-se os servidores NOME, NOME e NOME para apurar possíveis irregularidades funcionais descritas nos autos do 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 ainda, determina-se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afastamento do servidor investigado nos autos do processo em epígrafe.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20XX.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NOME DA AUTORIDADE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(CARGO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40"/>
        </w:tabs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e Cumpra-se.</w:t>
      </w:r>
    </w:p>
    <w:p w:rsidR="00000000" w:rsidDel="00000000" w:rsidP="00000000" w:rsidRDefault="00000000" w:rsidRPr="00000000" w14:paraId="00000021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Secretário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418"/>
          <w:tab w:val="left" w:leader="none" w:pos="1560"/>
        </w:tabs>
        <w:spacing w:line="360" w:lineRule="auto"/>
        <w:ind w:firstLine="141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ind w:right="-34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276" w:right="184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link w:val="11"/>
    <w:uiPriority w:val="9"/>
    <w:qFormat w:val="1"/>
    <w:pPr>
      <w:keepNext w:val="1"/>
      <w:keepLines w:val="1"/>
      <w:spacing w:after="0" w:before="240" w:line="240" w:lineRule="auto"/>
      <w:outlineLvl w:val="0"/>
    </w:pPr>
    <w:rPr>
      <w:rFonts w:asciiTheme="majorHAnsi" w:cstheme="majorBidi" w:eastAsiaTheme="majorEastAsia" w:hAnsiTheme="majorHAnsi"/>
      <w:color w:val="2e75b6" w:themeColor="accent1" w:themeShade="0000BF"/>
      <w:sz w:val="32"/>
      <w:szCs w:val="32"/>
      <w:lang w:eastAsia="en-US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6">
    <w:name w:val="header"/>
    <w:basedOn w:val="1"/>
    <w:link w:val="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4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9" w:customStyle="1">
    <w:name w:val="Cabeçalho Char"/>
    <w:basedOn w:val="3"/>
    <w:link w:val="6"/>
    <w:uiPriority w:val="99"/>
    <w:qFormat w:val="1"/>
  </w:style>
  <w:style w:type="character" w:styleId="10" w:customStyle="1">
    <w:name w:val="Rodapé Char"/>
    <w:basedOn w:val="3"/>
    <w:link w:val="7"/>
    <w:uiPriority w:val="99"/>
    <w:qFormat w:val="1"/>
  </w:style>
  <w:style w:type="character" w:styleId="11" w:customStyle="1">
    <w:name w:val="Título 1 Char"/>
    <w:basedOn w:val="3"/>
    <w:link w:val="2"/>
    <w:uiPriority w:val="9"/>
    <w:qFormat w:val="1"/>
    <w:rPr>
      <w:rFonts w:asciiTheme="majorHAnsi" w:cstheme="majorBidi" w:eastAsiaTheme="majorEastAsia" w:hAnsiTheme="majorHAnsi"/>
      <w:color w:val="2e75b6" w:themeColor="accent1" w:themeShade="0000BF"/>
      <w:sz w:val="32"/>
      <w:szCs w:val="32"/>
    </w:rPr>
  </w:style>
  <w:style w:type="paragraph" w:styleId="12">
    <w:name w:val="No Spacing"/>
    <w:uiPriority w:val="1"/>
    <w:qFormat w:val="1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Texto de balão Char"/>
    <w:basedOn w:val="3"/>
    <w:link w:val="8"/>
    <w:uiPriority w:val="99"/>
    <w:semiHidden w:val="1"/>
    <w:qFormat w:val="1"/>
    <w:rPr>
      <w:rFonts w:ascii="Segoe UI" w:cs="Segoe UI" w:hAnsi="Segoe UI" w:eastAsiaTheme="minorEastAsia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AYiXYWJa50bX5ELsClfg3NxDg==">CgMxLjAyCGguZ2pkZ3hzOAByITF4VWRVeVd1d2k4eVdjMmJQLXpMWHhQZU5sZ0MzSFoyOA==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2023-05-29T15:11:00Z</dcterms:created>
  <dc:creator>Paulo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60584EC50BAF42FB8DC30033D71179A8_13</vt:lpwstr>
  </property>
</Properties>
</file>