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3669" w14:textId="77777777" w:rsidR="006924CB" w:rsidRDefault="002933D0">
      <w:pPr>
        <w:jc w:val="center"/>
        <w:rPr>
          <w:rFonts w:ascii="Times New Roman" w:eastAsia="Times New Roman" w:hAnsi="Times New Roman" w:cs="Times New Roman"/>
          <w:b/>
        </w:rPr>
      </w:pPr>
      <w:r>
        <w:rPr>
          <w:rFonts w:ascii="Times New Roman" w:eastAsia="Times New Roman" w:hAnsi="Times New Roman" w:cs="Times New Roman"/>
          <w:b/>
        </w:rPr>
        <w:t>ANEXO III- MINUTA PADRÃO DO TERMO DE FOMENTO OU COLABORAÇÃO:</w:t>
      </w:r>
    </w:p>
    <w:p w14:paraId="56B83FE5" w14:textId="77777777" w:rsidR="006924CB" w:rsidRDefault="006924CB">
      <w:pPr>
        <w:jc w:val="center"/>
        <w:rPr>
          <w:rFonts w:ascii="Times New Roman" w:eastAsia="Times New Roman" w:hAnsi="Times New Roman" w:cs="Times New Roman"/>
          <w:b/>
        </w:rPr>
      </w:pPr>
    </w:p>
    <w:p w14:paraId="757827A7" w14:textId="77777777" w:rsidR="006924CB" w:rsidRDefault="006924CB">
      <w:pPr>
        <w:jc w:val="center"/>
        <w:rPr>
          <w:rFonts w:ascii="Times New Roman" w:eastAsia="Times New Roman" w:hAnsi="Times New Roman" w:cs="Times New Roman"/>
          <w:b/>
        </w:rPr>
      </w:pPr>
    </w:p>
    <w:p w14:paraId="1D962E5A" w14:textId="77777777" w:rsidR="006924CB" w:rsidRDefault="002933D0">
      <w:pPr>
        <w:jc w:val="both"/>
        <w:rPr>
          <w:rFonts w:ascii="Times New Roman" w:eastAsia="Times New Roman" w:hAnsi="Times New Roman" w:cs="Times New Roman"/>
          <w:b/>
        </w:rPr>
      </w:pPr>
      <w:r>
        <w:rPr>
          <w:rFonts w:ascii="Times New Roman" w:eastAsia="Times New Roman" w:hAnsi="Times New Roman" w:cs="Times New Roman"/>
          <w:b/>
        </w:rPr>
        <w:t>Observações:</w:t>
      </w:r>
    </w:p>
    <w:p w14:paraId="257CEFC4" w14:textId="77777777" w:rsidR="006924CB" w:rsidRDefault="006924CB">
      <w:pPr>
        <w:jc w:val="both"/>
        <w:rPr>
          <w:rFonts w:ascii="Times New Roman" w:eastAsia="Times New Roman" w:hAnsi="Times New Roman" w:cs="Times New Roman"/>
        </w:rPr>
      </w:pPr>
    </w:p>
    <w:p w14:paraId="4506E71A" w14:textId="77777777" w:rsidR="006924CB" w:rsidRDefault="002933D0" w:rsidP="00FE1AD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A presente minuta foi estruturada de forma padronizada para aplicação tanto no Termo de Colaboração quanto no Termo de Fomento, observando-se o regime jurídico estabelecido no parecer referencial.</w:t>
      </w:r>
    </w:p>
    <w:p w14:paraId="34DCB36D" w14:textId="77777777" w:rsidR="006924CB" w:rsidRDefault="002933D0" w:rsidP="00FE1AD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As principais diferenças entre as modalidades deverão ser detalhadas e delimitadas no Plano de Trabalho e, quando houver, no Edital de Chamamento Público, os quais deverão indicar, de forma expressa, as especificidades quanto às metas, atividades, critérios de seleção e demais elementos de execução da parceria.</w:t>
      </w:r>
    </w:p>
    <w:p w14:paraId="11DC346B" w14:textId="77777777" w:rsidR="006924CB" w:rsidRDefault="002933D0" w:rsidP="00FE1AD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No ato de formalização, compete à Administração definir as regras atinentes à destinação de bens permanentes, bem como a correta indicação da espécie de instrumento a ser adotada, em consonância com o marco legal aplicável.</w:t>
      </w:r>
    </w:p>
    <w:p w14:paraId="47D39BDA" w14:textId="77777777" w:rsidR="006924CB" w:rsidRDefault="002933D0" w:rsidP="00FE1AD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Esta minuta contém cláusulas facultativas, a exemplo da Atuação em Rede, que deverá ser incluída exclusivamente nos casos em que tal previsão se faça necessária, não sendo de aplicação obrigatória em todas as parcerias.</w:t>
      </w:r>
    </w:p>
    <w:p w14:paraId="1C0ECFC4" w14:textId="77777777" w:rsidR="006924CB" w:rsidRDefault="002933D0" w:rsidP="00FE1AD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 xml:space="preserve">Eventuais ajustes de redação ou inclusão de cláusulas específicas devem ser realizados pela área técnica, de modo a assegurar a aderência da minuta ao objeto da parceria e a conformidade com a legislação vigente, e deverá ser submetida a análise da Procuradoria Geral do Estado de Mato Grosso. </w:t>
      </w:r>
    </w:p>
    <w:p w14:paraId="7F45564F" w14:textId="77777777" w:rsidR="006924CB" w:rsidRDefault="006924CB">
      <w:pPr>
        <w:spacing w:line="280" w:lineRule="auto"/>
        <w:jc w:val="center"/>
        <w:rPr>
          <w:rFonts w:ascii="Times New Roman" w:eastAsia="Times New Roman" w:hAnsi="Times New Roman" w:cs="Times New Roman"/>
          <w:b/>
        </w:rPr>
      </w:pPr>
    </w:p>
    <w:p w14:paraId="220D192D" w14:textId="77777777" w:rsidR="006924CB" w:rsidRDefault="006924CB">
      <w:pPr>
        <w:spacing w:line="280" w:lineRule="auto"/>
        <w:jc w:val="center"/>
        <w:rPr>
          <w:rFonts w:ascii="Times New Roman" w:eastAsia="Times New Roman" w:hAnsi="Times New Roman" w:cs="Times New Roman"/>
          <w:b/>
        </w:rPr>
      </w:pPr>
    </w:p>
    <w:p w14:paraId="6B8B8C37" w14:textId="77777777" w:rsidR="006924CB" w:rsidRDefault="006924CB">
      <w:pPr>
        <w:spacing w:line="280" w:lineRule="auto"/>
        <w:jc w:val="center"/>
        <w:rPr>
          <w:rFonts w:ascii="Times New Roman" w:eastAsia="Times New Roman" w:hAnsi="Times New Roman" w:cs="Times New Roman"/>
          <w:b/>
        </w:rPr>
      </w:pPr>
    </w:p>
    <w:p w14:paraId="638F1503" w14:textId="77777777" w:rsidR="006924CB" w:rsidRDefault="002933D0">
      <w:pPr>
        <w:spacing w:line="280" w:lineRule="auto"/>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Minuta</w:t>
      </w:r>
    </w:p>
    <w:p w14:paraId="0325F7D3" w14:textId="1EC2387E" w:rsidR="006924CB" w:rsidRDefault="002933D0">
      <w:pPr>
        <w:spacing w:line="280" w:lineRule="auto"/>
        <w:jc w:val="center"/>
        <w:rPr>
          <w:rFonts w:ascii="Times New Roman" w:eastAsia="Times New Roman" w:hAnsi="Times New Roman" w:cs="Times New Roman"/>
          <w:b/>
        </w:rPr>
      </w:pPr>
      <w:r>
        <w:rPr>
          <w:rFonts w:ascii="Times New Roman" w:eastAsia="Times New Roman" w:hAnsi="Times New Roman" w:cs="Times New Roman"/>
          <w:b/>
        </w:rPr>
        <w:t>TERMO DE FOMENTO (</w:t>
      </w:r>
      <w:r>
        <w:rPr>
          <w:rFonts w:ascii="Times New Roman" w:eastAsia="Times New Roman" w:hAnsi="Times New Roman" w:cs="Times New Roman"/>
          <w:b/>
        </w:rPr>
        <w:t>ou TERMO DE COLABORAÇÃO) Nº ____/2025</w:t>
      </w:r>
    </w:p>
    <w:p w14:paraId="62A1040F" w14:textId="77777777" w:rsidR="006924CB" w:rsidRDefault="002933D0">
      <w:pPr>
        <w:spacing w:line="280" w:lineRule="auto"/>
        <w:jc w:val="center"/>
        <w:rPr>
          <w:rFonts w:ascii="Times New Roman" w:eastAsia="Times New Roman" w:hAnsi="Times New Roman" w:cs="Times New Roman"/>
          <w:b/>
        </w:rPr>
      </w:pPr>
      <w:r>
        <w:rPr>
          <w:rFonts w:ascii="Times New Roman" w:eastAsia="Times New Roman" w:hAnsi="Times New Roman" w:cs="Times New Roman"/>
          <w:b/>
        </w:rPr>
        <w:t xml:space="preserve">PROPOSTA SIGCON Nº. </w:t>
      </w:r>
    </w:p>
    <w:p w14:paraId="5625AC4F" w14:textId="77777777" w:rsidR="006924CB" w:rsidRDefault="006924CB">
      <w:pPr>
        <w:spacing w:line="280" w:lineRule="auto"/>
        <w:jc w:val="both"/>
        <w:rPr>
          <w:rFonts w:ascii="Times New Roman" w:eastAsia="Times New Roman" w:hAnsi="Times New Roman" w:cs="Times New Roman"/>
          <w:b/>
        </w:rPr>
      </w:pPr>
    </w:p>
    <w:p w14:paraId="7E504303" w14:textId="77777777" w:rsidR="006924CB" w:rsidRDefault="002933D0">
      <w:pPr>
        <w:spacing w:line="240" w:lineRule="auto"/>
        <w:ind w:left="1700"/>
        <w:jc w:val="both"/>
        <w:rPr>
          <w:rFonts w:ascii="Times New Roman" w:eastAsia="Times New Roman" w:hAnsi="Times New Roman" w:cs="Times New Roman"/>
          <w:b/>
        </w:rPr>
      </w:pPr>
      <w:r>
        <w:rPr>
          <w:rFonts w:ascii="Times New Roman" w:eastAsia="Times New Roman" w:hAnsi="Times New Roman" w:cs="Times New Roman"/>
          <w:b/>
        </w:rPr>
        <w:t xml:space="preserve">TERMO DE FOMENTO (ou TERMO DE COLABORAÇÃO) Nº XXXX QUE ENTRE SI CELEBRAM O ESTADO DE MATO GROSSO, por intermédio do (órgão estadual), E A (nome da OSC), PARA OS FINS QUE ESPECIFICA. </w:t>
      </w:r>
    </w:p>
    <w:p w14:paraId="6827D501" w14:textId="77777777" w:rsidR="006924CB" w:rsidRDefault="006924CB">
      <w:pPr>
        <w:spacing w:line="280" w:lineRule="auto"/>
        <w:jc w:val="both"/>
        <w:rPr>
          <w:rFonts w:ascii="Times New Roman" w:eastAsia="Times New Roman" w:hAnsi="Times New Roman" w:cs="Times New Roman"/>
        </w:rPr>
      </w:pPr>
    </w:p>
    <w:p w14:paraId="5B237E93" w14:textId="77777777" w:rsidR="006924CB" w:rsidRDefault="006924CB">
      <w:pPr>
        <w:widowControl w:val="0"/>
        <w:spacing w:line="280" w:lineRule="auto"/>
        <w:ind w:right="16"/>
        <w:jc w:val="both"/>
        <w:rPr>
          <w:rFonts w:ascii="Times New Roman" w:eastAsia="Times New Roman" w:hAnsi="Times New Roman" w:cs="Times New Roman"/>
        </w:rPr>
      </w:pPr>
    </w:p>
    <w:p w14:paraId="7BBBA6DD"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 xml:space="preserve">O </w:t>
      </w:r>
      <w:r>
        <w:rPr>
          <w:rFonts w:ascii="Times New Roman" w:eastAsia="Times New Roman" w:hAnsi="Times New Roman" w:cs="Times New Roman"/>
          <w:b/>
        </w:rPr>
        <w:t>ESTADO DE MATO GROSSO</w:t>
      </w:r>
      <w:r>
        <w:rPr>
          <w:rFonts w:ascii="Times New Roman" w:eastAsia="Times New Roman" w:hAnsi="Times New Roman" w:cs="Times New Roman"/>
        </w:rPr>
        <w:t>, por intermédio da SECRETARIA ______________________________, inscrita no CNPJ sob o nº ________________________, com sede _______________________________________, neste ato representada por __________________________________________, portador(a) do RG nº _______________, inscrito(a) no CPF sob o nº ______________________, residente e domiciliado(a) _________________________________, doravante denominada CONCEDENTE (ou PROPONENTE, no caso de Termo de Colaboração), e do outro lado, ____</w:t>
      </w:r>
      <w:r>
        <w:rPr>
          <w:rFonts w:ascii="Times New Roman" w:eastAsia="Times New Roman" w:hAnsi="Times New Roman" w:cs="Times New Roman"/>
        </w:rPr>
        <w:t xml:space="preserve">_____________________________, inscrito no CNPJ sob o nº _________________________, com sede _________________________________, neste ato representada por _________________________________________, portador(a) do RG nº e inscrito(a) no CPF sob o </w:t>
      </w:r>
      <w:r>
        <w:rPr>
          <w:rFonts w:ascii="Times New Roman" w:eastAsia="Times New Roman" w:hAnsi="Times New Roman" w:cs="Times New Roman"/>
        </w:rPr>
        <w:lastRenderedPageBreak/>
        <w:t>nº _____________________, residente e domiciliada ___________________________, doravante denominada PROPONENTE (ou EXECUTORA, no caso de Termo de Colaboração), RESOLVEM celebrar o presente</w:t>
      </w:r>
      <w:r>
        <w:rPr>
          <w:rFonts w:ascii="Times New Roman" w:eastAsia="Times New Roman" w:hAnsi="Times New Roman" w:cs="Times New Roman"/>
          <w:b/>
        </w:rPr>
        <w:t xml:space="preserve"> TERMO DE FOMENTO (ou TERMO DE COLABORAÇÃO)</w:t>
      </w:r>
      <w:r>
        <w:rPr>
          <w:rFonts w:ascii="Times New Roman" w:eastAsia="Times New Roman" w:hAnsi="Times New Roman" w:cs="Times New Roman"/>
        </w:rPr>
        <w:t>, decorrente do Edital de Chamament</w:t>
      </w:r>
      <w:r>
        <w:rPr>
          <w:rFonts w:ascii="Times New Roman" w:eastAsia="Times New Roman" w:hAnsi="Times New Roman" w:cs="Times New Roman"/>
        </w:rPr>
        <w:t xml:space="preserve">o Público nº ......, de ...... [ou da Dispensa de Chamamento Público nº ____________________ ou Inexigibilidade de Chamamento Público nº __________________, tendo em vista o que consta do Processo Administrativo nº ......... e em observância às disposições da Lei nº 13.019, de 31 de julho de 2014, da Lei nº 12.432, de 09 de fevereiro de 2024 (institui o Plano Plurianual do Estado de Mato Grosso para o período de 2024 a 2027), mediante as cláusulas e condições a seguir enunciadas: </w:t>
      </w:r>
    </w:p>
    <w:p w14:paraId="68FD67D7" w14:textId="77777777" w:rsidR="006924CB" w:rsidRDefault="006924CB">
      <w:pPr>
        <w:spacing w:line="280" w:lineRule="auto"/>
        <w:jc w:val="both"/>
        <w:rPr>
          <w:rFonts w:ascii="Times New Roman" w:eastAsia="Times New Roman" w:hAnsi="Times New Roman" w:cs="Times New Roman"/>
        </w:rPr>
      </w:pPr>
    </w:p>
    <w:p w14:paraId="5C85912C" w14:textId="77777777" w:rsidR="006924CB" w:rsidRDefault="002933D0">
      <w:pPr>
        <w:pStyle w:val="Ttulo3"/>
        <w:keepNext w:val="0"/>
        <w:keepLines w:val="0"/>
        <w:spacing w:before="0" w:after="0" w:line="280" w:lineRule="auto"/>
        <w:rPr>
          <w:rFonts w:ascii="Times New Roman" w:eastAsia="Times New Roman" w:hAnsi="Times New Roman" w:cs="Times New Roman"/>
          <w:b/>
          <w:color w:val="000000"/>
          <w:sz w:val="22"/>
          <w:szCs w:val="22"/>
        </w:rPr>
      </w:pPr>
      <w:bookmarkStart w:id="0" w:name="_8nq29vnt792i" w:colFirst="0" w:colLast="0"/>
      <w:bookmarkEnd w:id="0"/>
      <w:r>
        <w:rPr>
          <w:rFonts w:ascii="Times New Roman" w:eastAsia="Times New Roman" w:hAnsi="Times New Roman" w:cs="Times New Roman"/>
          <w:b/>
          <w:color w:val="000000"/>
          <w:sz w:val="22"/>
          <w:szCs w:val="22"/>
        </w:rPr>
        <w:t xml:space="preserve">CLÁUSULA PRIMEIRA – DO OBJETO </w:t>
      </w:r>
    </w:p>
    <w:p w14:paraId="0B1F3EAC" w14:textId="77777777" w:rsidR="006924CB" w:rsidRDefault="002933D0">
      <w:pPr>
        <w:pStyle w:val="Ttulo3"/>
        <w:keepNext w:val="0"/>
        <w:keepLines w:val="0"/>
        <w:spacing w:before="0" w:after="0" w:line="280" w:lineRule="auto"/>
        <w:jc w:val="both"/>
        <w:rPr>
          <w:rFonts w:ascii="Times New Roman" w:eastAsia="Times New Roman" w:hAnsi="Times New Roman" w:cs="Times New Roman"/>
          <w:color w:val="000000"/>
          <w:sz w:val="22"/>
          <w:szCs w:val="22"/>
        </w:rPr>
      </w:pPr>
      <w:bookmarkStart w:id="1" w:name="_sxy6xxvn0kg3" w:colFirst="0" w:colLast="0"/>
      <w:bookmarkEnd w:id="1"/>
      <w:r>
        <w:rPr>
          <w:rFonts w:ascii="Times New Roman" w:eastAsia="Times New Roman" w:hAnsi="Times New Roman" w:cs="Times New Roman"/>
          <w:color w:val="000000"/>
          <w:sz w:val="22"/>
          <w:szCs w:val="22"/>
        </w:rPr>
        <w:t>O objeto do presente Termo de Fomento (ou Termo de Colaboração) é a execução de (projeto - descrever) visando à consecução de finalidade de interesse público e recíproco, conforme especificações estabelecidas no plano de trabalho.</w:t>
      </w:r>
    </w:p>
    <w:p w14:paraId="48B3FF5C" w14:textId="77777777" w:rsidR="006924CB" w:rsidRDefault="006924CB"/>
    <w:p w14:paraId="3C585313" w14:textId="77777777" w:rsidR="006924CB" w:rsidRDefault="002933D0">
      <w:pPr>
        <w:jc w:val="both"/>
        <w:rPr>
          <w:rFonts w:ascii="Times New Roman" w:eastAsia="Times New Roman" w:hAnsi="Times New Roman" w:cs="Times New Roman"/>
          <w:b/>
        </w:rPr>
      </w:pPr>
      <w:r>
        <w:rPr>
          <w:rFonts w:ascii="Times New Roman" w:eastAsia="Times New Roman" w:hAnsi="Times New Roman" w:cs="Times New Roman"/>
          <w:b/>
        </w:rPr>
        <w:t xml:space="preserve">CLÁUSULA SEGUNDA – DO PLANO DE TRABALHO </w:t>
      </w:r>
    </w:p>
    <w:p w14:paraId="2377D3E6"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2.1</w:t>
      </w:r>
      <w:r>
        <w:rPr>
          <w:rFonts w:ascii="Times New Roman" w:eastAsia="Times New Roman" w:hAnsi="Times New Roman" w:cs="Times New Roman"/>
        </w:rPr>
        <w:t xml:space="preserve"> Para o alcance do objeto pactuado, os partícipes obrigam-se a cumprir o plano de trabalho que, independentemente de transcrição, é parte integrante e indissociável do presente Termo de Fomento (ou Termo de Colaboração), bem como toda documentação técnica que dele resulte, cujos dados neles contidos acatam os partícipes. </w:t>
      </w:r>
    </w:p>
    <w:p w14:paraId="4708E9C8" w14:textId="77777777" w:rsidR="006924CB" w:rsidRDefault="006924CB">
      <w:pPr>
        <w:jc w:val="both"/>
        <w:rPr>
          <w:rFonts w:ascii="Times New Roman" w:eastAsia="Times New Roman" w:hAnsi="Times New Roman" w:cs="Times New Roman"/>
        </w:rPr>
      </w:pPr>
    </w:p>
    <w:p w14:paraId="3BFD8595"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2.2</w:t>
      </w:r>
      <w:r>
        <w:rPr>
          <w:rFonts w:ascii="Times New Roman" w:eastAsia="Times New Roman" w:hAnsi="Times New Roman" w:cs="Times New Roman"/>
        </w:rPr>
        <w:t xml:space="preserve"> Os ajustes no Plano de Trabalho deverão ser formalizados por meio de termo aditivo ou certidão de apostilamento, observados os limites e hipóteses previstos no art. 57 da Lei nº 13.019/2014 e na legislação correlata, sendo vedada qualquer alteração que implique modificação do objeto da parceria, observando as seguintes condições:</w:t>
      </w:r>
    </w:p>
    <w:p w14:paraId="07FA7C8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por termo aditivo à parceria para: </w:t>
      </w:r>
    </w:p>
    <w:p w14:paraId="2F86E60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a) ampliação do valor global, observando a razoabilidade e a proporcionalidade e o percentual estabelecido por ato normativo próprio; </w:t>
      </w:r>
    </w:p>
    <w:p w14:paraId="6533AF3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b) redução do valor global, sem limitação de montante; </w:t>
      </w:r>
    </w:p>
    <w:p w14:paraId="0AD51FC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c) prorrogação da vigência ou alteração da destinação dos bens remanescentes. </w:t>
      </w:r>
    </w:p>
    <w:p w14:paraId="2D2FFBFE" w14:textId="77777777" w:rsidR="006924CB" w:rsidRDefault="006924CB">
      <w:pPr>
        <w:jc w:val="both"/>
        <w:rPr>
          <w:rFonts w:ascii="Times New Roman" w:eastAsia="Times New Roman" w:hAnsi="Times New Roman" w:cs="Times New Roman"/>
        </w:rPr>
      </w:pPr>
    </w:p>
    <w:p w14:paraId="24E300B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II – por certidão de apostilamento, nas demais hipóteses de alteração, tais como:</w:t>
      </w:r>
    </w:p>
    <w:p w14:paraId="339E295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a) utilização de rendimentos de aplicações financeiras ou de saldos porventura existentes antes do término da execução da parceria; </w:t>
      </w:r>
    </w:p>
    <w:p w14:paraId="55A5D54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b) ajustes da execução do objeto da parceria no plano de trabalho; ou </w:t>
      </w:r>
    </w:p>
    <w:p w14:paraId="55F43F1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c) remanejamento de recursos sem a alteração do valor global. </w:t>
      </w:r>
    </w:p>
    <w:p w14:paraId="16243815" w14:textId="77777777" w:rsidR="006924CB" w:rsidRDefault="006924CB">
      <w:pPr>
        <w:jc w:val="both"/>
        <w:rPr>
          <w:rFonts w:ascii="Times New Roman" w:eastAsia="Times New Roman" w:hAnsi="Times New Roman" w:cs="Times New Roman"/>
        </w:rPr>
      </w:pPr>
    </w:p>
    <w:p w14:paraId="06884D5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2.3.</w:t>
      </w:r>
      <w:r>
        <w:rPr>
          <w:rFonts w:ascii="Times New Roman" w:eastAsia="Times New Roman" w:hAnsi="Times New Roman" w:cs="Times New Roman"/>
        </w:rPr>
        <w:t xml:space="preserve"> A parceria deverá ser alterada por certidão de apostilamento, independentemente de anuência da OSC, para: </w:t>
      </w:r>
    </w:p>
    <w:p w14:paraId="360C59B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prorrogação da vigência, antes de seu término, quando a Administração Pública tiver dado causa ao atraso na liberação de recursos financeiros, ficando a prorrogação limitada ao exato período do atraso verificado; ou </w:t>
      </w:r>
    </w:p>
    <w:p w14:paraId="12DAFAD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indicação dos créditos orçamentários de exercícios futuros. </w:t>
      </w:r>
    </w:p>
    <w:p w14:paraId="75D66591" w14:textId="77777777" w:rsidR="006924CB" w:rsidRDefault="006924CB">
      <w:pPr>
        <w:jc w:val="both"/>
        <w:rPr>
          <w:rFonts w:ascii="Times New Roman" w:eastAsia="Times New Roman" w:hAnsi="Times New Roman" w:cs="Times New Roman"/>
        </w:rPr>
      </w:pPr>
    </w:p>
    <w:p w14:paraId="3D036CD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lastRenderedPageBreak/>
        <w:t>2.4.</w:t>
      </w:r>
      <w:r>
        <w:rPr>
          <w:rFonts w:ascii="Times New Roman" w:eastAsia="Times New Roman" w:hAnsi="Times New Roman" w:cs="Times New Roman"/>
        </w:rPr>
        <w:t xml:space="preserve"> A Administração Pública possui o prazo de 30 (trinta) dias, contado da data de sua apresentação, para se manifestar sobre a solicitação de alteração, ficando este prazo suspenso quando forem solicitados esclarecimentos à OSC. </w:t>
      </w:r>
    </w:p>
    <w:p w14:paraId="4773C6BB" w14:textId="77777777" w:rsidR="006924CB" w:rsidRDefault="006924CB">
      <w:pPr>
        <w:jc w:val="both"/>
        <w:rPr>
          <w:rFonts w:ascii="Times New Roman" w:eastAsia="Times New Roman" w:hAnsi="Times New Roman" w:cs="Times New Roman"/>
        </w:rPr>
      </w:pPr>
    </w:p>
    <w:p w14:paraId="3F9BBE1D"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2.5.</w:t>
      </w:r>
      <w:r>
        <w:rPr>
          <w:rFonts w:ascii="Times New Roman" w:eastAsia="Times New Roman" w:hAnsi="Times New Roman" w:cs="Times New Roman"/>
        </w:rPr>
        <w:t xml:space="preserve"> No caso de término da execução da parceria antes da manifestação sobre a solicitação de alteração da destinação dos bens remanescentes, a custódia dos bens permanecerá sob a responsabilidade da OSC até a decisão do pedido. </w:t>
      </w:r>
    </w:p>
    <w:p w14:paraId="54D931A1" w14:textId="77777777" w:rsidR="006924CB" w:rsidRDefault="006924CB">
      <w:pPr>
        <w:jc w:val="both"/>
        <w:rPr>
          <w:rFonts w:ascii="Times New Roman" w:eastAsia="Times New Roman" w:hAnsi="Times New Roman" w:cs="Times New Roman"/>
        </w:rPr>
      </w:pPr>
    </w:p>
    <w:p w14:paraId="2B51D83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2.6. </w:t>
      </w:r>
      <w:r>
        <w:rPr>
          <w:rFonts w:ascii="Times New Roman" w:eastAsia="Times New Roman" w:hAnsi="Times New Roman" w:cs="Times New Roman"/>
        </w:rPr>
        <w:t>É dispensada a autorização prévia nas hipóteses de alteração do plano de trabalho para o remanejamento de recursos de que trata a alínea “c” do inciso II da Cláusula Oitava, em percentual de até 10% (dez por cento) do valor global da parceria.</w:t>
      </w:r>
    </w:p>
    <w:p w14:paraId="7DDF7616" w14:textId="77777777" w:rsidR="006924CB" w:rsidRDefault="006924CB">
      <w:pPr>
        <w:jc w:val="both"/>
        <w:rPr>
          <w:rFonts w:ascii="Times New Roman" w:eastAsia="Times New Roman" w:hAnsi="Times New Roman" w:cs="Times New Roman"/>
        </w:rPr>
      </w:pPr>
    </w:p>
    <w:p w14:paraId="00C2233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2.7.</w:t>
      </w:r>
      <w:r>
        <w:rPr>
          <w:rFonts w:ascii="Times New Roman" w:eastAsia="Times New Roman" w:hAnsi="Times New Roman" w:cs="Times New Roman"/>
        </w:rPr>
        <w:t xml:space="preserve"> Para fins do disposto na Subcláusula 2.6, caberá à OSC encaminhar comunicação posterior à Administração Pública para a realização de apostilamento.</w:t>
      </w:r>
    </w:p>
    <w:p w14:paraId="32CE3E04" w14:textId="77777777" w:rsidR="006924CB" w:rsidRDefault="006924CB">
      <w:pPr>
        <w:jc w:val="both"/>
        <w:rPr>
          <w:rFonts w:ascii="Times New Roman" w:eastAsia="Times New Roman" w:hAnsi="Times New Roman" w:cs="Times New Roman"/>
        </w:rPr>
      </w:pPr>
    </w:p>
    <w:p w14:paraId="2D2DE00B" w14:textId="77777777" w:rsidR="006924CB" w:rsidRDefault="002933D0">
      <w:pPr>
        <w:jc w:val="both"/>
        <w:rPr>
          <w:rFonts w:ascii="Times New Roman" w:eastAsia="Times New Roman" w:hAnsi="Times New Roman" w:cs="Times New Roman"/>
          <w:b/>
        </w:rPr>
      </w:pPr>
      <w:r>
        <w:rPr>
          <w:rFonts w:ascii="Times New Roman" w:eastAsia="Times New Roman" w:hAnsi="Times New Roman" w:cs="Times New Roman"/>
          <w:b/>
        </w:rPr>
        <w:t xml:space="preserve">CLÁUSULA TERCEIRA – DO PRAZO DE VIGÊNCIA </w:t>
      </w:r>
    </w:p>
    <w:p w14:paraId="53F8DB0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3.1</w:t>
      </w:r>
      <w:r>
        <w:rPr>
          <w:rFonts w:ascii="Times New Roman" w:eastAsia="Times New Roman" w:hAnsi="Times New Roman" w:cs="Times New Roman"/>
        </w:rPr>
        <w:t xml:space="preserve"> A vigência deste Termo de Fomento (ou Termo de Colaboração) será de _________</w:t>
      </w:r>
      <w:r>
        <w:rPr>
          <w:rFonts w:ascii="Times New Roman" w:eastAsia="Times New Roman" w:hAnsi="Times New Roman" w:cs="Times New Roman"/>
          <w:b/>
        </w:rPr>
        <w:t xml:space="preserve"> meses/anos</w:t>
      </w:r>
      <w:r>
        <w:rPr>
          <w:rFonts w:ascii="Times New Roman" w:eastAsia="Times New Roman" w:hAnsi="Times New Roman" w:cs="Times New Roman"/>
        </w:rPr>
        <w:t xml:space="preserve"> a partir da data de sua assinatura, podendo ser prorrogado nos seguintes casos e condições: </w:t>
      </w:r>
    </w:p>
    <w:p w14:paraId="0CF67EC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mediante termo aditivo, por solicitação da OSC devidamente fundamentada, formulada, no mínimo, 30 (trinta) dias antes do seu término, desde que autorizada pela Administração Pública e </w:t>
      </w:r>
    </w:p>
    <w:p w14:paraId="67699BE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II. de ofício, por iniciativa da Administração Pública, quando esta der causa a atraso na liberação de recursos financeiros, limitada ao exato período do atraso verificado.</w:t>
      </w:r>
    </w:p>
    <w:p w14:paraId="598F25C4" w14:textId="77777777" w:rsidR="006924CB" w:rsidRDefault="006924CB">
      <w:pPr>
        <w:jc w:val="both"/>
        <w:rPr>
          <w:rFonts w:ascii="Times New Roman" w:eastAsia="Times New Roman" w:hAnsi="Times New Roman" w:cs="Times New Roman"/>
        </w:rPr>
      </w:pPr>
    </w:p>
    <w:p w14:paraId="63A8AE2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CLÁUSULA QUARTA – DOS RECURSOS FINANCEIROS</w:t>
      </w:r>
      <w:r>
        <w:rPr>
          <w:rFonts w:ascii="Times New Roman" w:eastAsia="Times New Roman" w:hAnsi="Times New Roman" w:cs="Times New Roman"/>
        </w:rPr>
        <w:t xml:space="preserve"> </w:t>
      </w:r>
    </w:p>
    <w:p w14:paraId="592E528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4.1</w:t>
      </w:r>
      <w:r>
        <w:rPr>
          <w:rFonts w:ascii="Times New Roman" w:eastAsia="Times New Roman" w:hAnsi="Times New Roman" w:cs="Times New Roman"/>
        </w:rPr>
        <w:t xml:space="preserve"> Para a execução do(s) projeto(s) previsto(s) neste Termo de Fomento (ou Termo de Colaboração), serão disponibilizados recursos no valor total de R$ _____________ (</w:t>
      </w:r>
      <w:proofErr w:type="spellStart"/>
      <w:r>
        <w:rPr>
          <w:rFonts w:ascii="Times New Roman" w:eastAsia="Times New Roman" w:hAnsi="Times New Roman" w:cs="Times New Roman"/>
        </w:rPr>
        <w:t>xxxx</w:t>
      </w:r>
      <w:proofErr w:type="spellEnd"/>
      <w:r>
        <w:rPr>
          <w:rFonts w:ascii="Times New Roman" w:eastAsia="Times New Roman" w:hAnsi="Times New Roman" w:cs="Times New Roman"/>
        </w:rPr>
        <w:t xml:space="preserve"> reais), conforme cronograma de desembolso constante do plano de trabalho</w:t>
      </w:r>
    </w:p>
    <w:p w14:paraId="6121EE7F" w14:textId="77777777" w:rsidR="006924CB" w:rsidRDefault="006924CB">
      <w:pPr>
        <w:jc w:val="both"/>
        <w:rPr>
          <w:rFonts w:ascii="Times New Roman" w:eastAsia="Times New Roman" w:hAnsi="Times New Roman" w:cs="Times New Roman"/>
        </w:rPr>
      </w:pPr>
    </w:p>
    <w:p w14:paraId="6DC760F7"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w:t>
      </w:r>
      <w:r>
        <w:rPr>
          <w:rFonts w:ascii="Times New Roman" w:eastAsia="Times New Roman" w:hAnsi="Times New Roman" w:cs="Times New Roman"/>
          <w:b/>
        </w:rPr>
        <w:t xml:space="preserve">Administração Pública: </w:t>
      </w:r>
      <w:r>
        <w:rPr>
          <w:rFonts w:ascii="Times New Roman" w:eastAsia="Times New Roman" w:hAnsi="Times New Roman" w:cs="Times New Roman"/>
        </w:rPr>
        <w:t>R$ _____________________________</w:t>
      </w:r>
      <w:proofErr w:type="gramStart"/>
      <w:r>
        <w:rPr>
          <w:rFonts w:ascii="Times New Roman" w:eastAsia="Times New Roman" w:hAnsi="Times New Roman" w:cs="Times New Roman"/>
        </w:rPr>
        <w:t>_(</w:t>
      </w:r>
      <w:proofErr w:type="spellStart"/>
      <w:proofErr w:type="gramEnd"/>
      <w:r>
        <w:rPr>
          <w:rFonts w:ascii="Times New Roman" w:eastAsia="Times New Roman" w:hAnsi="Times New Roman" w:cs="Times New Roman"/>
        </w:rPr>
        <w:t>xxxx</w:t>
      </w:r>
      <w:proofErr w:type="spellEnd"/>
      <w:r>
        <w:rPr>
          <w:rFonts w:ascii="Times New Roman" w:eastAsia="Times New Roman" w:hAnsi="Times New Roman" w:cs="Times New Roman"/>
        </w:rPr>
        <w:t xml:space="preserve"> reais); </w:t>
      </w:r>
    </w:p>
    <w:p w14:paraId="14DFD3FA" w14:textId="77777777" w:rsidR="006924CB" w:rsidRDefault="006924CB">
      <w:pPr>
        <w:jc w:val="both"/>
        <w:rPr>
          <w:rFonts w:ascii="Times New Roman" w:eastAsia="Times New Roman" w:hAnsi="Times New Roman" w:cs="Times New Roman"/>
        </w:rPr>
      </w:pPr>
    </w:p>
    <w:p w14:paraId="69D3D531"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w:t>
      </w:r>
      <w:r>
        <w:rPr>
          <w:rFonts w:ascii="Times New Roman" w:eastAsia="Times New Roman" w:hAnsi="Times New Roman" w:cs="Times New Roman"/>
          <w:b/>
        </w:rPr>
        <w:t>OSC (quando for o caso de oferta de contrapartida):</w:t>
      </w:r>
      <w:r>
        <w:rPr>
          <w:rFonts w:ascii="Times New Roman" w:eastAsia="Times New Roman" w:hAnsi="Times New Roman" w:cs="Times New Roman"/>
        </w:rPr>
        <w:t xml:space="preserve"> R$ </w:t>
      </w:r>
      <w:proofErr w:type="spellStart"/>
      <w:r>
        <w:rPr>
          <w:rFonts w:ascii="Times New Roman" w:eastAsia="Times New Roman" w:hAnsi="Times New Roman" w:cs="Times New Roman"/>
        </w:rPr>
        <w:t>xxxxx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xxxx</w:t>
      </w:r>
      <w:proofErr w:type="spellEnd"/>
      <w:r>
        <w:rPr>
          <w:rFonts w:ascii="Times New Roman" w:eastAsia="Times New Roman" w:hAnsi="Times New Roman" w:cs="Times New Roman"/>
        </w:rPr>
        <w:t xml:space="preserve"> reais), correspondente à contrapartida em bens e serviços economicamente mensuráveis, cuja forma de aferição, em conformidade com os valores de mercado, encontra-se descrita no plano de trabalho, previamente aprovado pela Administração Pública; e R$ </w:t>
      </w:r>
      <w:proofErr w:type="spellStart"/>
      <w:r>
        <w:rPr>
          <w:rFonts w:ascii="Times New Roman" w:eastAsia="Times New Roman" w:hAnsi="Times New Roman" w:cs="Times New Roman"/>
        </w:rPr>
        <w:t>xxxxx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xxxx</w:t>
      </w:r>
      <w:proofErr w:type="spellEnd"/>
      <w:r>
        <w:rPr>
          <w:rFonts w:ascii="Times New Roman" w:eastAsia="Times New Roman" w:hAnsi="Times New Roman" w:cs="Times New Roman"/>
        </w:rPr>
        <w:t xml:space="preserve"> reais), correspondente à contrapartida financeira, ofertada voluntariamente pela OSC. </w:t>
      </w:r>
    </w:p>
    <w:p w14:paraId="7EA69B8E" w14:textId="77777777" w:rsidR="006924CB" w:rsidRDefault="006924CB">
      <w:pPr>
        <w:jc w:val="both"/>
        <w:rPr>
          <w:rFonts w:ascii="Times New Roman" w:eastAsia="Times New Roman" w:hAnsi="Times New Roman" w:cs="Times New Roman"/>
        </w:rPr>
      </w:pPr>
    </w:p>
    <w:p w14:paraId="58AA7FDC" w14:textId="77777777" w:rsidR="006924CB" w:rsidRDefault="002933D0">
      <w:pPr>
        <w:widowControl w:val="0"/>
        <w:spacing w:line="36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4.2 </w:t>
      </w:r>
      <w:r>
        <w:rPr>
          <w:rFonts w:ascii="Times New Roman" w:eastAsia="Times New Roman" w:hAnsi="Times New Roman" w:cs="Times New Roman"/>
        </w:rPr>
        <w:t>Os recursos financeiros a serem disponibilizados pelo Concedente (proponente- no caso de Termo de Colaboração) correrão por conta do orçamento na seguinte dotação:</w:t>
      </w:r>
    </w:p>
    <w:p w14:paraId="1FF7FCB5" w14:textId="77777777" w:rsidR="006924CB" w:rsidRDefault="002933D0">
      <w:pPr>
        <w:widowControl w:val="0"/>
        <w:spacing w:line="360" w:lineRule="auto"/>
        <w:ind w:right="16"/>
        <w:jc w:val="both"/>
        <w:rPr>
          <w:rFonts w:ascii="Times New Roman" w:eastAsia="Times New Roman" w:hAnsi="Times New Roman" w:cs="Times New Roman"/>
          <w:b/>
        </w:rPr>
      </w:pPr>
      <w:r>
        <w:rPr>
          <w:rFonts w:ascii="Times New Roman" w:eastAsia="Times New Roman" w:hAnsi="Times New Roman" w:cs="Times New Roman"/>
          <w:b/>
        </w:rPr>
        <w:t>Órgão/Unidade:</w:t>
      </w:r>
    </w:p>
    <w:p w14:paraId="07A660CF" w14:textId="77777777" w:rsidR="006924CB" w:rsidRDefault="002933D0">
      <w:pPr>
        <w:widowControl w:val="0"/>
        <w:spacing w:line="360" w:lineRule="auto"/>
        <w:ind w:right="16"/>
        <w:jc w:val="both"/>
        <w:rPr>
          <w:rFonts w:ascii="Times New Roman" w:eastAsia="Times New Roman" w:hAnsi="Times New Roman" w:cs="Times New Roman"/>
          <w:b/>
        </w:rPr>
      </w:pPr>
      <w:r>
        <w:rPr>
          <w:rFonts w:ascii="Times New Roman" w:eastAsia="Times New Roman" w:hAnsi="Times New Roman" w:cs="Times New Roman"/>
          <w:b/>
        </w:rPr>
        <w:t>Programa:</w:t>
      </w:r>
    </w:p>
    <w:p w14:paraId="14DC8964" w14:textId="77777777" w:rsidR="006924CB" w:rsidRDefault="002933D0">
      <w:pPr>
        <w:widowControl w:val="0"/>
        <w:spacing w:line="360" w:lineRule="auto"/>
        <w:ind w:right="16"/>
        <w:jc w:val="both"/>
        <w:rPr>
          <w:rFonts w:ascii="Times New Roman" w:eastAsia="Times New Roman" w:hAnsi="Times New Roman" w:cs="Times New Roman"/>
          <w:b/>
        </w:rPr>
      </w:pPr>
      <w:r>
        <w:rPr>
          <w:rFonts w:ascii="Times New Roman" w:eastAsia="Times New Roman" w:hAnsi="Times New Roman" w:cs="Times New Roman"/>
          <w:b/>
        </w:rPr>
        <w:t>Projeto/Atividade:</w:t>
      </w:r>
    </w:p>
    <w:p w14:paraId="6B8F90E6" w14:textId="77777777" w:rsidR="006924CB" w:rsidRDefault="002933D0">
      <w:pPr>
        <w:widowControl w:val="0"/>
        <w:spacing w:line="360" w:lineRule="auto"/>
        <w:ind w:right="16"/>
        <w:jc w:val="both"/>
        <w:rPr>
          <w:rFonts w:ascii="Times New Roman" w:eastAsia="Times New Roman" w:hAnsi="Times New Roman" w:cs="Times New Roman"/>
          <w:b/>
        </w:rPr>
      </w:pPr>
      <w:r>
        <w:rPr>
          <w:rFonts w:ascii="Times New Roman" w:eastAsia="Times New Roman" w:hAnsi="Times New Roman" w:cs="Times New Roman"/>
          <w:b/>
        </w:rPr>
        <w:t>Fonte:</w:t>
      </w:r>
    </w:p>
    <w:p w14:paraId="7DB6C402" w14:textId="77777777" w:rsidR="006924CB" w:rsidRDefault="002933D0">
      <w:pPr>
        <w:widowControl w:val="0"/>
        <w:spacing w:line="360" w:lineRule="auto"/>
        <w:ind w:right="16"/>
        <w:jc w:val="both"/>
        <w:rPr>
          <w:rFonts w:ascii="Times New Roman" w:eastAsia="Times New Roman" w:hAnsi="Times New Roman" w:cs="Times New Roman"/>
          <w:b/>
        </w:rPr>
      </w:pPr>
      <w:r>
        <w:rPr>
          <w:rFonts w:ascii="Times New Roman" w:eastAsia="Times New Roman" w:hAnsi="Times New Roman" w:cs="Times New Roman"/>
          <w:b/>
        </w:rPr>
        <w:t>Elementos de Despesa:</w:t>
      </w:r>
    </w:p>
    <w:p w14:paraId="678A75B0" w14:textId="77777777" w:rsidR="006924CB" w:rsidRDefault="002933D0">
      <w:pPr>
        <w:widowControl w:val="0"/>
        <w:spacing w:line="360" w:lineRule="auto"/>
        <w:ind w:right="16"/>
        <w:jc w:val="both"/>
        <w:rPr>
          <w:rFonts w:ascii="Times New Roman" w:eastAsia="Times New Roman" w:hAnsi="Times New Roman" w:cs="Times New Roman"/>
          <w:b/>
        </w:rPr>
      </w:pPr>
      <w:r>
        <w:rPr>
          <w:rFonts w:ascii="Times New Roman" w:eastAsia="Times New Roman" w:hAnsi="Times New Roman" w:cs="Times New Roman"/>
          <w:b/>
        </w:rPr>
        <w:lastRenderedPageBreak/>
        <w:t>Empenho:</w:t>
      </w:r>
    </w:p>
    <w:p w14:paraId="45D1CF9B" w14:textId="77777777" w:rsidR="006924CB" w:rsidRDefault="002933D0">
      <w:pPr>
        <w:widowControl w:val="0"/>
        <w:spacing w:line="360" w:lineRule="auto"/>
        <w:ind w:right="16"/>
        <w:jc w:val="both"/>
        <w:rPr>
          <w:rFonts w:ascii="Times New Roman" w:eastAsia="Times New Roman" w:hAnsi="Times New Roman" w:cs="Times New Roman"/>
        </w:rPr>
      </w:pPr>
      <w:r>
        <w:rPr>
          <w:rFonts w:ascii="Times New Roman" w:eastAsia="Times New Roman" w:hAnsi="Times New Roman" w:cs="Times New Roman"/>
          <w:b/>
        </w:rPr>
        <w:t>Emenda Parlamentar nº:</w:t>
      </w:r>
      <w:r>
        <w:rPr>
          <w:rFonts w:ascii="Times New Roman" w:eastAsia="Times New Roman" w:hAnsi="Times New Roman" w:cs="Times New Roman"/>
        </w:rPr>
        <w:t xml:space="preserve"> </w:t>
      </w:r>
    </w:p>
    <w:p w14:paraId="1D165204" w14:textId="77777777" w:rsidR="006924CB" w:rsidRDefault="006924CB">
      <w:pPr>
        <w:jc w:val="both"/>
        <w:rPr>
          <w:rFonts w:ascii="Times New Roman" w:eastAsia="Times New Roman" w:hAnsi="Times New Roman" w:cs="Times New Roman"/>
        </w:rPr>
      </w:pPr>
    </w:p>
    <w:p w14:paraId="7C551BB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4.3</w:t>
      </w:r>
      <w:r>
        <w:rPr>
          <w:rFonts w:ascii="Times New Roman" w:eastAsia="Times New Roman" w:hAnsi="Times New Roman" w:cs="Times New Roman"/>
        </w:rPr>
        <w:t xml:space="preserve"> Não pode ser exigido da OSC depósito correspondente ao valor da contrapartida em bens e serviços.</w:t>
      </w:r>
    </w:p>
    <w:p w14:paraId="681571DB" w14:textId="77777777" w:rsidR="006924CB" w:rsidRDefault="006924CB">
      <w:pPr>
        <w:jc w:val="both"/>
        <w:rPr>
          <w:rFonts w:ascii="Times New Roman" w:eastAsia="Times New Roman" w:hAnsi="Times New Roman" w:cs="Times New Roman"/>
        </w:rPr>
      </w:pPr>
    </w:p>
    <w:p w14:paraId="19BDBCE5"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CLÁUSULA QUINTA – DA LIBERAÇÃO DOS RECURSOS FINANCEIROS</w:t>
      </w:r>
      <w:r>
        <w:rPr>
          <w:rFonts w:ascii="Times New Roman" w:eastAsia="Times New Roman" w:hAnsi="Times New Roman" w:cs="Times New Roman"/>
        </w:rPr>
        <w:t xml:space="preserve"> </w:t>
      </w:r>
    </w:p>
    <w:p w14:paraId="1F046AF8"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5.1</w:t>
      </w:r>
      <w:r>
        <w:rPr>
          <w:rFonts w:ascii="Times New Roman" w:eastAsia="Times New Roman" w:hAnsi="Times New Roman" w:cs="Times New Roman"/>
        </w:rPr>
        <w:t xml:space="preserve"> A liberação do recurso financeiro se dará em parcela única ou em (colocar o número de parcelas) parcelas, em estrita conformidade com o Cronograma de Desembolso, o qual guardará consonância com as metas da parceria, ficando a liberação condicionada, ainda, ao cumprimento dos requisitos previstos no art. 48 da Lei nº 13.019, de 2014.</w:t>
      </w:r>
    </w:p>
    <w:p w14:paraId="07887467" w14:textId="77777777" w:rsidR="006924CB" w:rsidRDefault="006924CB">
      <w:pPr>
        <w:jc w:val="both"/>
        <w:rPr>
          <w:rFonts w:ascii="Times New Roman" w:eastAsia="Times New Roman" w:hAnsi="Times New Roman" w:cs="Times New Roman"/>
        </w:rPr>
      </w:pPr>
    </w:p>
    <w:p w14:paraId="18E651C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5.2 </w:t>
      </w:r>
      <w:r>
        <w:rPr>
          <w:rFonts w:ascii="Times New Roman" w:eastAsia="Times New Roman" w:hAnsi="Times New Roman" w:cs="Times New Roman"/>
        </w:rPr>
        <w:t xml:space="preserve">As parcelas dos recursos ficarão retidas até o saneamento das impropriedades ou irregularidades detectadas nos seguintes casos: </w:t>
      </w:r>
    </w:p>
    <w:p w14:paraId="56DB5E1C"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quando houver evidências de irregularidade na aplicação de parcela anteriormente recebida; </w:t>
      </w:r>
    </w:p>
    <w:p w14:paraId="38B641D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quando constatado desvio de finalidade na aplicação dos recursos ou o inadimplemento da OSC em relação a obrigações estabelecidas neste Termo de Fomento (ou Termo de Colaboração); ou </w:t>
      </w:r>
    </w:p>
    <w:p w14:paraId="4307F37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III - quando a OSC deixar de adotar sem justificativa suficiente as medidas saneadoras apontadas pela administração pública ou pelos órgãos de controle interno ou externo. </w:t>
      </w:r>
    </w:p>
    <w:p w14:paraId="23144F29" w14:textId="77777777" w:rsidR="006924CB" w:rsidRDefault="006924CB">
      <w:pPr>
        <w:jc w:val="both"/>
        <w:rPr>
          <w:rFonts w:ascii="Times New Roman" w:eastAsia="Times New Roman" w:hAnsi="Times New Roman" w:cs="Times New Roman"/>
        </w:rPr>
      </w:pPr>
    </w:p>
    <w:p w14:paraId="5D2DA871"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5.3 </w:t>
      </w:r>
      <w:r>
        <w:rPr>
          <w:rFonts w:ascii="Times New Roman" w:eastAsia="Times New Roman" w:hAnsi="Times New Roman" w:cs="Times New Roman"/>
        </w:rPr>
        <w:t xml:space="preserve">A verificação das hipóteses de retenção previstas na subcláusula 5.2 ocorrerá por meio de ações de monitoramento e avaliação, incluindo: </w:t>
      </w:r>
    </w:p>
    <w:p w14:paraId="3BA3DB01"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a verificação da existência de denúncias aceitas; </w:t>
      </w:r>
    </w:p>
    <w:p w14:paraId="18159B0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a análise das prestações de contas anuais; </w:t>
      </w:r>
    </w:p>
    <w:p w14:paraId="0FE9BB2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III - as medidas adotadas para atender a eventuais recomendações existentes dos órgãos de controle interno e externo; e </w:t>
      </w:r>
    </w:p>
    <w:p w14:paraId="14BCBB6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IV - a consulta aos cadastros e sistemas estaduais que permitam aferir a regularidade da parceria. </w:t>
      </w:r>
    </w:p>
    <w:p w14:paraId="276F27A8" w14:textId="77777777" w:rsidR="006924CB" w:rsidRDefault="006924CB">
      <w:pPr>
        <w:jc w:val="both"/>
        <w:rPr>
          <w:rFonts w:ascii="Times New Roman" w:eastAsia="Times New Roman" w:hAnsi="Times New Roman" w:cs="Times New Roman"/>
        </w:rPr>
      </w:pPr>
    </w:p>
    <w:p w14:paraId="6E51107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5.4 </w:t>
      </w:r>
      <w:r>
        <w:rPr>
          <w:rFonts w:ascii="Times New Roman" w:eastAsia="Times New Roman" w:hAnsi="Times New Roman" w:cs="Times New Roman"/>
        </w:rPr>
        <w:t xml:space="preserve">O atraso na liberação das parcelas pactuadas no plano de trabalho configura inadimplemento de obrigação e se este perdurar: </w:t>
      </w:r>
    </w:p>
    <w:p w14:paraId="36F1035D"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por mais de 30 (trinta) dias, a OSC poderá suspender as atividades até a regularização do desembolso; ou </w:t>
      </w:r>
    </w:p>
    <w:p w14:paraId="571ADCB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por mais de 60 (sessenta) dias, a OSC poderá rescindir a parceria firmada, garantindo-se acerto final com liberação de recursos proporcional a eventual alocação de recursos próprios da entidade. </w:t>
      </w:r>
    </w:p>
    <w:p w14:paraId="3C92B286" w14:textId="77777777" w:rsidR="006924CB" w:rsidRDefault="006924CB">
      <w:pPr>
        <w:jc w:val="both"/>
        <w:rPr>
          <w:rFonts w:ascii="Times New Roman" w:eastAsia="Times New Roman" w:hAnsi="Times New Roman" w:cs="Times New Roman"/>
        </w:rPr>
      </w:pPr>
    </w:p>
    <w:p w14:paraId="62D7882F"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CLÁUSULA SEXTA- DA MOVIMENTAÇÃO DOS RECURSOS FINANCEIROS</w:t>
      </w:r>
    </w:p>
    <w:p w14:paraId="0190542F"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6.1.</w:t>
      </w:r>
      <w:r>
        <w:rPr>
          <w:rFonts w:ascii="Times New Roman" w:eastAsia="Times New Roman" w:hAnsi="Times New Roman" w:cs="Times New Roman"/>
        </w:rPr>
        <w:t xml:space="preserve"> Os recursos financeiros destinados à execução do presente Termo de Fomento (ou Termo de Colaboração) serão depositados em </w:t>
      </w:r>
      <w:r>
        <w:rPr>
          <w:rFonts w:ascii="Times New Roman" w:eastAsia="Times New Roman" w:hAnsi="Times New Roman" w:cs="Times New Roman"/>
          <w:b/>
        </w:rPr>
        <w:t>conta corrente bancária específica</w:t>
      </w:r>
      <w:r>
        <w:rPr>
          <w:rFonts w:ascii="Times New Roman" w:eastAsia="Times New Roman" w:hAnsi="Times New Roman" w:cs="Times New Roman"/>
        </w:rPr>
        <w:t>, aberta em instituição financeira pública indicada pela Administração, vedada a cobrança de tarifas bancárias, em conformidade com o art. 51 da Lei nº 13.019/2014.</w:t>
      </w:r>
    </w:p>
    <w:p w14:paraId="18FA5223" w14:textId="77777777" w:rsidR="006924CB" w:rsidRDefault="006924CB">
      <w:pPr>
        <w:jc w:val="both"/>
        <w:rPr>
          <w:rFonts w:ascii="Times New Roman" w:eastAsia="Times New Roman" w:hAnsi="Times New Roman" w:cs="Times New Roman"/>
        </w:rPr>
      </w:pPr>
    </w:p>
    <w:p w14:paraId="562DD1FF"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6.2.</w:t>
      </w:r>
      <w:r>
        <w:rPr>
          <w:rFonts w:ascii="Times New Roman" w:eastAsia="Times New Roman" w:hAnsi="Times New Roman" w:cs="Times New Roman"/>
        </w:rPr>
        <w:t xml:space="preserve"> Enquanto não empregados na execução do objeto, os recursos deverão ser aplicados em modalidades de baixo risco, de forma a preservar seu valor real, observadas as condições fixadas pela Administração Pública.</w:t>
      </w:r>
    </w:p>
    <w:p w14:paraId="36DDFB57" w14:textId="77777777" w:rsidR="006924CB" w:rsidRDefault="006924CB">
      <w:pPr>
        <w:jc w:val="both"/>
        <w:rPr>
          <w:rFonts w:ascii="Times New Roman" w:eastAsia="Times New Roman" w:hAnsi="Times New Roman" w:cs="Times New Roman"/>
        </w:rPr>
      </w:pPr>
    </w:p>
    <w:p w14:paraId="7D0016B6"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6.3.</w:t>
      </w:r>
      <w:r>
        <w:rPr>
          <w:rFonts w:ascii="Times New Roman" w:eastAsia="Times New Roman" w:hAnsi="Times New Roman" w:cs="Times New Roman"/>
        </w:rPr>
        <w:t xml:space="preserve">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077449B8" w14:textId="77777777" w:rsidR="006924CB" w:rsidRDefault="002933D0">
      <w:pPr>
        <w:spacing w:before="240" w:after="240"/>
        <w:jc w:val="both"/>
        <w:rPr>
          <w:rFonts w:ascii="Times New Roman" w:eastAsia="Times New Roman" w:hAnsi="Times New Roman" w:cs="Times New Roman"/>
        </w:rPr>
      </w:pPr>
      <w:r>
        <w:rPr>
          <w:rFonts w:ascii="Times New Roman" w:eastAsia="Times New Roman" w:hAnsi="Times New Roman" w:cs="Times New Roman"/>
          <w:b/>
        </w:rPr>
        <w:t>6.4.</w:t>
      </w:r>
      <w:r>
        <w:rPr>
          <w:rFonts w:ascii="Times New Roman" w:eastAsia="Times New Roman" w:hAnsi="Times New Roman" w:cs="Times New Roman"/>
        </w:rPr>
        <w:t xml:space="preserve"> É vedada a utilização dos recursos como receita própria da OSC ou como remuneração por serviços, devendo sua contabilização observar integralmente as Normas Brasileiras de Contabilidade aplicáveis às entidades do Terceiro Setor.</w:t>
      </w:r>
    </w:p>
    <w:p w14:paraId="133CC63A" w14:textId="77777777" w:rsidR="006924CB" w:rsidRDefault="002933D0">
      <w:pPr>
        <w:spacing w:before="240" w:after="240"/>
        <w:jc w:val="both"/>
        <w:rPr>
          <w:rFonts w:ascii="Times New Roman" w:eastAsia="Times New Roman" w:hAnsi="Times New Roman" w:cs="Times New Roman"/>
        </w:rPr>
      </w:pPr>
      <w:r>
        <w:rPr>
          <w:rFonts w:ascii="Times New Roman" w:eastAsia="Times New Roman" w:hAnsi="Times New Roman" w:cs="Times New Roman"/>
          <w:b/>
        </w:rPr>
        <w:t>6.5.</w:t>
      </w:r>
      <w:r>
        <w:rPr>
          <w:rFonts w:ascii="Times New Roman" w:eastAsia="Times New Roman" w:hAnsi="Times New Roman" w:cs="Times New Roman"/>
        </w:rPr>
        <w:t xml:space="preserve"> Toda movimentação deverá ser realizada por transferência eletrônica sujeita à identificação do beneficiário final, mediante crédito em conta bancária de titularidade de fornecedores ou prestadores de serviço, nos termos do art. 53, caput e §1º, da Lei nº 13.019/2014.</w:t>
      </w:r>
    </w:p>
    <w:p w14:paraId="1D8D6342" w14:textId="77777777" w:rsidR="006924CB" w:rsidRDefault="002933D0">
      <w:pPr>
        <w:spacing w:before="240" w:after="240"/>
        <w:jc w:val="both"/>
        <w:rPr>
          <w:rFonts w:ascii="Times New Roman" w:eastAsia="Times New Roman" w:hAnsi="Times New Roman" w:cs="Times New Roman"/>
        </w:rPr>
      </w:pPr>
      <w:r>
        <w:rPr>
          <w:rFonts w:ascii="Times New Roman" w:eastAsia="Times New Roman" w:hAnsi="Times New Roman" w:cs="Times New Roman"/>
          <w:b/>
        </w:rPr>
        <w:t>6.6.</w:t>
      </w:r>
      <w:r>
        <w:rPr>
          <w:rFonts w:ascii="Times New Roman" w:eastAsia="Times New Roman" w:hAnsi="Times New Roman" w:cs="Times New Roman"/>
        </w:rPr>
        <w:t xml:space="preserve"> Excepcionalmente, poderá ser admitido o pagamento em espécie, desde que demonstrada a impossibilidade física de transferência eletrônica, devidamente justificada no processo administrativo, conforme o disposto no art. 53, §2º, da Lei nº 13.019/2014.</w:t>
      </w:r>
    </w:p>
    <w:p w14:paraId="542599B1" w14:textId="77777777" w:rsidR="006924CB" w:rsidRDefault="002933D0">
      <w:pPr>
        <w:spacing w:before="240" w:after="240"/>
        <w:jc w:val="both"/>
        <w:rPr>
          <w:rFonts w:ascii="Times New Roman" w:eastAsia="Times New Roman" w:hAnsi="Times New Roman" w:cs="Times New Roman"/>
        </w:rPr>
      </w:pPr>
      <w:r>
        <w:rPr>
          <w:rFonts w:ascii="Times New Roman" w:eastAsia="Times New Roman" w:hAnsi="Times New Roman" w:cs="Times New Roman"/>
          <w:b/>
        </w:rPr>
        <w:t>6.7.</w:t>
      </w:r>
      <w:r>
        <w:rPr>
          <w:rFonts w:ascii="Times New Roman" w:eastAsia="Times New Roman" w:hAnsi="Times New Roman" w:cs="Times New Roman"/>
        </w:rPr>
        <w:t xml:space="preserve"> Concluída, rescindida ou extinta a parceria, os saldos financeiros remanescentes, inclusive aqueles decorrentes de aplicações financeiras, deverão ser restituídos à Administração Pública no prazo improrrogável de 30 (trinta) dias, sob pena de instauração imediata de </w:t>
      </w:r>
      <w:r>
        <w:rPr>
          <w:rFonts w:ascii="Times New Roman" w:eastAsia="Times New Roman" w:hAnsi="Times New Roman" w:cs="Times New Roman"/>
          <w:b/>
        </w:rPr>
        <w:t>tomada de contas especial</w:t>
      </w:r>
      <w:r>
        <w:rPr>
          <w:rFonts w:ascii="Times New Roman" w:eastAsia="Times New Roman" w:hAnsi="Times New Roman" w:cs="Times New Roman"/>
        </w:rPr>
        <w:t xml:space="preserve"> (art. 52 da Lei nº 13.019/2014).</w:t>
      </w:r>
    </w:p>
    <w:p w14:paraId="4185F66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6.8 </w:t>
      </w:r>
      <w:r>
        <w:rPr>
          <w:rFonts w:ascii="Times New Roman" w:eastAsia="Times New Roman" w:hAnsi="Times New Roman" w:cs="Times New Roman"/>
        </w:rPr>
        <w:t>Caso os recursos depositados em conta corrente específica não sejam utilizados no prazo de 365 (trezentos e sessenta e cinco) dias, contado a partir da efetivação do depósito, o Termo será rescindido unilateralmente pela Administração Pública, salvo quando houver execução parcial do objeto, desde que previamente justificado pelo gestor da parceria e autorizado pelo Secretário de Estado ou pelo dirigente máximo.</w:t>
      </w:r>
    </w:p>
    <w:p w14:paraId="4B4B158D" w14:textId="77777777" w:rsidR="006924CB" w:rsidRDefault="006924CB">
      <w:pPr>
        <w:jc w:val="both"/>
        <w:rPr>
          <w:rFonts w:ascii="Times New Roman" w:eastAsia="Times New Roman" w:hAnsi="Times New Roman" w:cs="Times New Roman"/>
          <w:b/>
        </w:rPr>
      </w:pPr>
    </w:p>
    <w:p w14:paraId="1A86A249"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 xml:space="preserve">CLÁUSULA SÉTIMA – DAS OBRIGAÇÕES DAS PARTES </w:t>
      </w:r>
    </w:p>
    <w:p w14:paraId="3A0C78C0" w14:textId="77777777" w:rsidR="006924CB" w:rsidRDefault="002933D0">
      <w:pPr>
        <w:widowControl w:val="0"/>
        <w:spacing w:line="280" w:lineRule="auto"/>
        <w:ind w:right="-19"/>
        <w:jc w:val="both"/>
        <w:rPr>
          <w:rFonts w:ascii="Times New Roman" w:eastAsia="Times New Roman" w:hAnsi="Times New Roman" w:cs="Times New Roman"/>
          <w:i/>
        </w:rPr>
      </w:pPr>
      <w:r>
        <w:rPr>
          <w:rFonts w:ascii="Times New Roman" w:eastAsia="Times New Roman" w:hAnsi="Times New Roman" w:cs="Times New Roman"/>
          <w:i/>
        </w:rPr>
        <w:t>(Estabelecer as obrigações do Concedente e Proponente (Executora- no caso de Termo de Colaboração) de acordo com o Plano de Trabalho, incluídas as previsões dos incisos VIII a XII, XV e XVI, do art. 35 da INC 001/2016)</w:t>
      </w:r>
    </w:p>
    <w:p w14:paraId="0B813A5D" w14:textId="77777777" w:rsidR="006924CB" w:rsidRDefault="006924CB">
      <w:pPr>
        <w:widowControl w:val="0"/>
        <w:spacing w:line="280" w:lineRule="auto"/>
        <w:ind w:right="-19"/>
        <w:jc w:val="both"/>
        <w:rPr>
          <w:rFonts w:ascii="Times New Roman" w:eastAsia="Times New Roman" w:hAnsi="Times New Roman" w:cs="Times New Roman"/>
        </w:rPr>
      </w:pPr>
    </w:p>
    <w:p w14:paraId="77A8C8BD"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7.1 OBRIGAÇÕES GERAIS</w:t>
      </w:r>
      <w:r>
        <w:rPr>
          <w:rFonts w:ascii="Times New Roman" w:eastAsia="Times New Roman" w:hAnsi="Times New Roman" w:cs="Times New Roman"/>
        </w:rPr>
        <w:t xml:space="preserve"> (quando houver)</w:t>
      </w:r>
    </w:p>
    <w:p w14:paraId="2129FB64" w14:textId="77777777" w:rsidR="006924CB" w:rsidRDefault="006924CB">
      <w:pPr>
        <w:widowControl w:val="0"/>
        <w:spacing w:line="360" w:lineRule="auto"/>
        <w:ind w:right="16"/>
        <w:jc w:val="both"/>
        <w:rPr>
          <w:rFonts w:ascii="Times New Roman" w:eastAsia="Times New Roman" w:hAnsi="Times New Roman" w:cs="Times New Roman"/>
        </w:rPr>
      </w:pPr>
    </w:p>
    <w:p w14:paraId="629DE133"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7.2 </w:t>
      </w:r>
      <w:r>
        <w:rPr>
          <w:rFonts w:ascii="Times New Roman" w:eastAsia="Times New Roman" w:hAnsi="Times New Roman" w:cs="Times New Roman"/>
        </w:rPr>
        <w:t xml:space="preserve">O </w:t>
      </w:r>
      <w:r>
        <w:rPr>
          <w:rFonts w:ascii="Times New Roman" w:eastAsia="Times New Roman" w:hAnsi="Times New Roman" w:cs="Times New Roman"/>
          <w:b/>
        </w:rPr>
        <w:t>CONCEDENTE</w:t>
      </w:r>
      <w:r>
        <w:rPr>
          <w:rFonts w:ascii="Times New Roman" w:eastAsia="Times New Roman" w:hAnsi="Times New Roman" w:cs="Times New Roman"/>
        </w:rPr>
        <w:t xml:space="preserve"> (Proponente- no caso de Termo de Colaboração) compromete-se a: </w:t>
      </w:r>
    </w:p>
    <w:p w14:paraId="5DD5525E" w14:textId="77777777" w:rsidR="006924CB" w:rsidRDefault="002933D0" w:rsidP="00FE1ADF">
      <w:pPr>
        <w:widowControl w:val="0"/>
        <w:numPr>
          <w:ilvl w:val="0"/>
          <w:numId w:val="1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Efetuar o repasse dos recursos necessários à execução do Plano de Trabalho;</w:t>
      </w:r>
    </w:p>
    <w:p w14:paraId="5BC5CF1E" w14:textId="77777777" w:rsidR="006924CB" w:rsidRDefault="002933D0" w:rsidP="00FE1ADF">
      <w:pPr>
        <w:widowControl w:val="0"/>
        <w:numPr>
          <w:ilvl w:val="0"/>
          <w:numId w:val="1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Acompanhar e fiscalizar a execução do presente instrumento, observando se os recursos estão sendo aplicados na execução do objeto da parceria em conformidade com o Plano de Trabalho, normas legais, normas regulamentares e especificações técnicas;</w:t>
      </w:r>
    </w:p>
    <w:p w14:paraId="4EA78C1D" w14:textId="77777777" w:rsidR="006924CB" w:rsidRDefault="002933D0" w:rsidP="00FE1ADF">
      <w:pPr>
        <w:widowControl w:val="0"/>
        <w:numPr>
          <w:ilvl w:val="0"/>
          <w:numId w:val="1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Publicar o extrato do presente instrumento no Diário Oficial do Estado, nos termos do artigo 32 da Instrução Normativa Conjunta SEPLAN/SEFAZ/CGE nº 001/2016 e suas alterações posteriores, se for o caso;</w:t>
      </w:r>
    </w:p>
    <w:p w14:paraId="0CB702B0" w14:textId="77777777" w:rsidR="006924CB" w:rsidRDefault="002933D0" w:rsidP="00FE1ADF">
      <w:pPr>
        <w:widowControl w:val="0"/>
        <w:numPr>
          <w:ilvl w:val="0"/>
          <w:numId w:val="1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Publicar no Diário Oficial do Estado de Mato Grosso a designação do fiscal, do gestor e da comissão de monitoramento e avaliação da parceria;</w:t>
      </w:r>
    </w:p>
    <w:p w14:paraId="63EEDEB8" w14:textId="77777777" w:rsidR="006924CB" w:rsidRDefault="002933D0" w:rsidP="00FE1ADF">
      <w:pPr>
        <w:widowControl w:val="0"/>
        <w:numPr>
          <w:ilvl w:val="0"/>
          <w:numId w:val="1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lastRenderedPageBreak/>
        <w:t>Receber e analisar a prestação de contas do presente instrumento;</w:t>
      </w:r>
    </w:p>
    <w:p w14:paraId="5DE32F4E" w14:textId="77777777" w:rsidR="006924CB" w:rsidRDefault="002933D0" w:rsidP="00FE1ADF">
      <w:pPr>
        <w:widowControl w:val="0"/>
        <w:numPr>
          <w:ilvl w:val="0"/>
          <w:numId w:val="1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Manter arquivada toda documentação relacionada ao presente Termo de Fomento, inclusive a prestação de contas, à disposição dos órgãos de controle interno e externo do Estado;</w:t>
      </w:r>
    </w:p>
    <w:p w14:paraId="6F9AA3D7" w14:textId="77777777" w:rsidR="006924CB" w:rsidRDefault="002933D0" w:rsidP="00FE1ADF">
      <w:pPr>
        <w:widowControl w:val="0"/>
        <w:numPr>
          <w:ilvl w:val="0"/>
          <w:numId w:val="1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Manter, em seu sítio oficial na internet, a relação das parcerias celebradas e dos respectivos planos de trabalho, até cento e oitenta dias após o respectivo encerramento, conforme artigo 22 Instrução Normativa Conjunta SEPLAN/SEFAZ/CGE nº 001/2016;</w:t>
      </w:r>
    </w:p>
    <w:p w14:paraId="1A8C6D83" w14:textId="77777777" w:rsidR="006924CB" w:rsidRDefault="002933D0" w:rsidP="00FE1ADF">
      <w:pPr>
        <w:widowControl w:val="0"/>
        <w:numPr>
          <w:ilvl w:val="0"/>
          <w:numId w:val="1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Aplicar a prerrogativa atribuída à administração pública estadual para assumir ou transferir a responsabilidade pela execução do objeto, no caso de paralisação, de modo a evitar a sua descontinuidade.</w:t>
      </w:r>
    </w:p>
    <w:p w14:paraId="1851FE8D" w14:textId="77777777" w:rsidR="006924CB" w:rsidRDefault="006924CB">
      <w:pPr>
        <w:widowControl w:val="0"/>
        <w:spacing w:line="360" w:lineRule="auto"/>
        <w:ind w:right="16"/>
        <w:jc w:val="both"/>
        <w:rPr>
          <w:rFonts w:ascii="Times New Roman" w:eastAsia="Times New Roman" w:hAnsi="Times New Roman" w:cs="Times New Roman"/>
        </w:rPr>
      </w:pPr>
    </w:p>
    <w:p w14:paraId="1C9F3766"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7.3 </w:t>
      </w:r>
      <w:r>
        <w:rPr>
          <w:rFonts w:ascii="Times New Roman" w:eastAsia="Times New Roman" w:hAnsi="Times New Roman" w:cs="Times New Roman"/>
        </w:rPr>
        <w:t xml:space="preserve">A </w:t>
      </w:r>
      <w:r>
        <w:rPr>
          <w:rFonts w:ascii="Times New Roman" w:eastAsia="Times New Roman" w:hAnsi="Times New Roman" w:cs="Times New Roman"/>
          <w:b/>
        </w:rPr>
        <w:t>PROPONENTE</w:t>
      </w:r>
      <w:r>
        <w:rPr>
          <w:rFonts w:ascii="Times New Roman" w:eastAsia="Times New Roman" w:hAnsi="Times New Roman" w:cs="Times New Roman"/>
        </w:rPr>
        <w:t xml:space="preserve"> (Executora- no caso de Termo de Colaboração) compromete-se a: </w:t>
      </w:r>
    </w:p>
    <w:p w14:paraId="231D052B" w14:textId="77777777" w:rsidR="006924CB" w:rsidRDefault="002933D0" w:rsidP="00FE1ADF">
      <w:pPr>
        <w:widowControl w:val="0"/>
        <w:numPr>
          <w:ilvl w:val="0"/>
          <w:numId w:val="2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Executar a integralidade do objeto pactuado no presente Termo de Fomento (ou Termo de Colaboração), na forma e prazos estabelecidos no Plano de Trabalho, somente permitindo-se a contratação de serviços de terceiros quando houver previsão no plano ou programa de trabalho ou em razão de fato superveniente e imprevisível, devidamente justificado, aprovado pelo órgão ou entidade concedente, nos termos dos artigos 45 e 46 da Lei 13.019/2014 e artigo 46 Instrução Normativa Conjunta SEPLAN/SEFAZ/CGE nº 001/2016;</w:t>
      </w:r>
    </w:p>
    <w:p w14:paraId="2B5C168B" w14:textId="77777777" w:rsidR="006924CB" w:rsidRDefault="002933D0" w:rsidP="00FE1ADF">
      <w:pPr>
        <w:widowControl w:val="0"/>
        <w:numPr>
          <w:ilvl w:val="0"/>
          <w:numId w:val="20"/>
        </w:numPr>
        <w:spacing w:line="280" w:lineRule="auto"/>
        <w:ind w:right="16"/>
        <w:jc w:val="both"/>
        <w:rPr>
          <w:rFonts w:ascii="Times New Roman" w:eastAsia="Times New Roman" w:hAnsi="Times New Roman" w:cs="Times New Roman"/>
        </w:rPr>
      </w:pPr>
      <w:proofErr w:type="spellStart"/>
      <w:r>
        <w:rPr>
          <w:rFonts w:ascii="Times New Roman" w:eastAsia="Times New Roman" w:hAnsi="Times New Roman" w:cs="Times New Roman"/>
        </w:rPr>
        <w:t>Fornecer</w:t>
      </w:r>
      <w:proofErr w:type="spellEnd"/>
      <w:r>
        <w:rPr>
          <w:rFonts w:ascii="Times New Roman" w:eastAsia="Times New Roman" w:hAnsi="Times New Roman" w:cs="Times New Roman"/>
        </w:rPr>
        <w:t xml:space="preserve"> ao Concedente (ou proponente- no caso de Termo de Colaboração) todas as informações solicitadas com relação ao objeto do presente instrumento;</w:t>
      </w:r>
    </w:p>
    <w:p w14:paraId="06D996C2" w14:textId="77777777" w:rsidR="006924CB" w:rsidRDefault="002933D0" w:rsidP="00FE1ADF">
      <w:pPr>
        <w:widowControl w:val="0"/>
        <w:numPr>
          <w:ilvl w:val="0"/>
          <w:numId w:val="2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 xml:space="preserve">Manter e movimentar os recursos financeiros repassados pelo Concedente (ou proponente- no caso de Termo de </w:t>
      </w:r>
      <w:proofErr w:type="gramStart"/>
      <w:r>
        <w:rPr>
          <w:rFonts w:ascii="Times New Roman" w:eastAsia="Times New Roman" w:hAnsi="Times New Roman" w:cs="Times New Roman"/>
        </w:rPr>
        <w:t>Colaboração)  em</w:t>
      </w:r>
      <w:proofErr w:type="gramEnd"/>
      <w:r>
        <w:rPr>
          <w:rFonts w:ascii="Times New Roman" w:eastAsia="Times New Roman" w:hAnsi="Times New Roman" w:cs="Times New Roman"/>
        </w:rPr>
        <w:t xml:space="preserve"> decorrência deste Termo de Fomento (ou Termo de Colaboração) em conta bancária exclusivamente aberta em instituição financeira pública para esta finalidade e isenta de tarifa bancária; </w:t>
      </w:r>
    </w:p>
    <w:p w14:paraId="64795628" w14:textId="77777777" w:rsidR="006924CB" w:rsidRDefault="002933D0" w:rsidP="00FE1ADF">
      <w:pPr>
        <w:widowControl w:val="0"/>
        <w:numPr>
          <w:ilvl w:val="0"/>
          <w:numId w:val="2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Identificar na conta bancária o número do presente Termo de Fomento, bem como a finalidade e o valor do repasse dos recursos financeiros do Concedente (ou proponente- no caso de Termo de Colaboração);</w:t>
      </w:r>
    </w:p>
    <w:p w14:paraId="1DEB39E4" w14:textId="77777777" w:rsidR="006924CB" w:rsidRDefault="002933D0" w:rsidP="00FE1ADF">
      <w:pPr>
        <w:widowControl w:val="0"/>
        <w:numPr>
          <w:ilvl w:val="0"/>
          <w:numId w:val="2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Não empregar os recursos decorrentes do presente Termo de Fomento (ou Termo de Colaboração) em finalidades diversas do objeto;</w:t>
      </w:r>
    </w:p>
    <w:p w14:paraId="64188EE2" w14:textId="77777777" w:rsidR="006924CB" w:rsidRDefault="002933D0" w:rsidP="00FE1ADF">
      <w:pPr>
        <w:widowControl w:val="0"/>
        <w:numPr>
          <w:ilvl w:val="0"/>
          <w:numId w:val="2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Permitir o livre acesso dos agentes da administração pública estadual, do controle interno e do Tribunal de Contas correspondente aos processos, aos documentos e às informações relacionadas a termos de colaboração ou a termos de fomento, bem como aos locais de execução do respectivo objeto;</w:t>
      </w:r>
    </w:p>
    <w:p w14:paraId="1D2E50A4" w14:textId="77777777" w:rsidR="006924CB" w:rsidRDefault="002933D0" w:rsidP="00FE1ADF">
      <w:pPr>
        <w:widowControl w:val="0"/>
        <w:numPr>
          <w:ilvl w:val="0"/>
          <w:numId w:val="2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Responsabilizar-se exclusivamente pelo gerenciamento administrativo e financeiro dos recursos recebidos, inclusive no que diz respeito às despesas de custeio, de investimento e de pessoal;</w:t>
      </w:r>
    </w:p>
    <w:p w14:paraId="14D86392" w14:textId="77777777" w:rsidR="006924CB" w:rsidRDefault="006924CB">
      <w:pPr>
        <w:widowControl w:val="0"/>
        <w:spacing w:line="280" w:lineRule="auto"/>
        <w:ind w:right="16"/>
        <w:jc w:val="both"/>
        <w:rPr>
          <w:rFonts w:ascii="Times New Roman" w:eastAsia="Times New Roman" w:hAnsi="Times New Roman" w:cs="Times New Roman"/>
        </w:rPr>
      </w:pPr>
    </w:p>
    <w:p w14:paraId="4C709029" w14:textId="77777777" w:rsidR="006924CB" w:rsidRDefault="002933D0">
      <w:pPr>
        <w:widowControl w:val="0"/>
        <w:spacing w:line="280" w:lineRule="auto"/>
        <w:ind w:right="16"/>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CLÁUSULA DESTINADA A SITUAÇÃO EM QUE A PARCERIA SERÁ REALIZADA POR MEIO DE ATUAÇÃO EM REDE</w:t>
      </w:r>
    </w:p>
    <w:p w14:paraId="1557509C" w14:textId="77777777" w:rsidR="006924CB" w:rsidRDefault="002933D0">
      <w:pPr>
        <w:jc w:val="both"/>
        <w:rPr>
          <w:rFonts w:ascii="Times New Roman" w:eastAsia="Times New Roman" w:hAnsi="Times New Roman" w:cs="Times New Roman"/>
          <w:b/>
        </w:rPr>
      </w:pPr>
      <w:r>
        <w:rPr>
          <w:rFonts w:ascii="Times New Roman" w:eastAsia="Times New Roman" w:hAnsi="Times New Roman" w:cs="Times New Roman"/>
          <w:b/>
        </w:rPr>
        <w:t xml:space="preserve">CLÁUSULA ________ – DA ATUAÇÃO EM REDE </w:t>
      </w:r>
    </w:p>
    <w:p w14:paraId="51BC30BC" w14:textId="77777777" w:rsidR="006924CB" w:rsidRDefault="006924CB">
      <w:pPr>
        <w:jc w:val="both"/>
        <w:rPr>
          <w:rFonts w:ascii="Times New Roman" w:eastAsia="Times New Roman" w:hAnsi="Times New Roman" w:cs="Times New Roman"/>
        </w:rPr>
      </w:pPr>
    </w:p>
    <w:p w14:paraId="3BA681C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XXX. A execução do presente Termo de Fomento pode se dar por atuação em rede de duas ou mais organizações da sociedade civil, a ser formalizada mediante assinatura de termo de atuação em rede. Subcláusula primeira. </w:t>
      </w:r>
    </w:p>
    <w:p w14:paraId="7DCC7A56" w14:textId="77777777" w:rsidR="006924CB" w:rsidRDefault="006924CB">
      <w:pPr>
        <w:jc w:val="both"/>
        <w:rPr>
          <w:rFonts w:ascii="Times New Roman" w:eastAsia="Times New Roman" w:hAnsi="Times New Roman" w:cs="Times New Roman"/>
        </w:rPr>
      </w:pPr>
    </w:p>
    <w:p w14:paraId="287E426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XXX. A rede deve ser composta por: </w:t>
      </w:r>
    </w:p>
    <w:p w14:paraId="0EC671B7"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a OSC celebrante da parceria com a Administração Pública, que ficará responsável pela rede e atuará como sua supervisora, mobilizadora e orientadora, podendo participar diretamente ou não da execução do objeto; e </w:t>
      </w:r>
    </w:p>
    <w:p w14:paraId="6E053C77"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uma ou mais organizações da sociedade civil executantes e não celebrantes da parceria com a Administração Pública, que deverão executar ações relacionadas ao objeto da parceria definidas em comum acordo com a OSC celebrante. Subcláusula segunda. A atuação em rede não caracteriza subcontratação de serviços e nem descaracteriza a capacidade técnica e operacional da OSC celebrante. Subcláusula terceira. </w:t>
      </w:r>
    </w:p>
    <w:p w14:paraId="59ED89E7" w14:textId="77777777" w:rsidR="006924CB" w:rsidRDefault="006924CB">
      <w:pPr>
        <w:jc w:val="both"/>
        <w:rPr>
          <w:rFonts w:ascii="Times New Roman" w:eastAsia="Times New Roman" w:hAnsi="Times New Roman" w:cs="Times New Roman"/>
        </w:rPr>
      </w:pPr>
    </w:p>
    <w:p w14:paraId="08D059AF"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XXX. A atuação em rede será formalizada entre a OSC celebrante e cada uma das organizações da sociedade civil executantes e não celebrantes por meio de termo de atuação em rede. </w:t>
      </w:r>
    </w:p>
    <w:p w14:paraId="3C0D3E3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o termo de atuação em rede especificará direitos e obrigações recíprocas, e estabelecerá, no mínimo, as ações, as metas e os prazos que serão desenvolvidos pela organização da sociedade civil executante e não celebrante e, quando for o caso, o valor a ser repassado pela OSC celebrante; </w:t>
      </w:r>
    </w:p>
    <w:p w14:paraId="631924FD"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a OSC celebrante deverá comunicar à Administração Pública a assinatura do termo de atuação em rede no prazo de até 60 (sessenta) dias, contado da data de sua assinatura; </w:t>
      </w:r>
    </w:p>
    <w:p w14:paraId="56ACE9A8"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III - na hipótese de o termo de atuação em rede ser rescindido, a OSC celebrante deverá comunicar o fato à Administração Pública no prazo de 15 (quinze) dias, contado da data da rescisão.</w:t>
      </w:r>
    </w:p>
    <w:p w14:paraId="428CB383" w14:textId="77777777" w:rsidR="006924CB" w:rsidRDefault="006924CB">
      <w:pPr>
        <w:jc w:val="both"/>
        <w:rPr>
          <w:rFonts w:ascii="Times New Roman" w:eastAsia="Times New Roman" w:hAnsi="Times New Roman" w:cs="Times New Roman"/>
        </w:rPr>
      </w:pPr>
    </w:p>
    <w:p w14:paraId="2ACF8E7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XXX. A OSC celebrante deverá assegurar, no momento da assinatura do termo de atuação em rede, a regularidade jurídica e fiscal da(s) organização(</w:t>
      </w:r>
      <w:proofErr w:type="spellStart"/>
      <w:r>
        <w:rPr>
          <w:rFonts w:ascii="Times New Roman" w:eastAsia="Times New Roman" w:hAnsi="Times New Roman" w:cs="Times New Roman"/>
        </w:rPr>
        <w:t>ões</w:t>
      </w:r>
      <w:proofErr w:type="spellEnd"/>
      <w:r>
        <w:rPr>
          <w:rFonts w:ascii="Times New Roman" w:eastAsia="Times New Roman" w:hAnsi="Times New Roman" w:cs="Times New Roman"/>
        </w:rPr>
        <w:t>) da sociedade civil executante(s) e não celebrante(s).</w:t>
      </w:r>
    </w:p>
    <w:p w14:paraId="779A52CF" w14:textId="77777777" w:rsidR="006924CB" w:rsidRDefault="006924CB">
      <w:pPr>
        <w:jc w:val="both"/>
        <w:rPr>
          <w:rFonts w:ascii="Times New Roman" w:eastAsia="Times New Roman" w:hAnsi="Times New Roman" w:cs="Times New Roman"/>
        </w:rPr>
      </w:pPr>
    </w:p>
    <w:p w14:paraId="7667C3A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XXX. Fica vedada a participação em rede de organização da sociedade civil executante e não celebrante que tenha mantido relação jurídica com, no mínimo, um dos integrantes da comissão de seleção responsável pelo chamamento público que resultou na celebração da parceria. </w:t>
      </w:r>
    </w:p>
    <w:p w14:paraId="05C9288C" w14:textId="77777777" w:rsidR="006924CB" w:rsidRDefault="006924CB">
      <w:pPr>
        <w:jc w:val="both"/>
        <w:rPr>
          <w:rFonts w:ascii="Times New Roman" w:eastAsia="Times New Roman" w:hAnsi="Times New Roman" w:cs="Times New Roman"/>
        </w:rPr>
      </w:pPr>
    </w:p>
    <w:p w14:paraId="11253EB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XXX. A OSC celebrante deverá comprovar à administração pública estadual o cumprimento dos requisitos previstos no art. 35-A da Lei nº 13.019, de 2014, a serem verificados por meio da apresentação dos seguintes documentos: </w:t>
      </w:r>
    </w:p>
    <w:p w14:paraId="5CE4446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comprovante de inscrição no CNPJ, emitido no sítio eletrônico oficial da Secretaria da Receita Federal do Brasil, para demonstrar que a OSC celebrante existe há, no mínimo, cinco anos com cadastro ativo; e </w:t>
      </w:r>
    </w:p>
    <w:p w14:paraId="3C220827"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comprovantes de capacidade técnica e operacional para supervisionar e orientar a rede, sendo admitidos: </w:t>
      </w:r>
    </w:p>
    <w:p w14:paraId="009F91F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a) declarações de organizações da sociedade civil que componham a rede de que a celebrante participe ou tenha participado; </w:t>
      </w:r>
    </w:p>
    <w:p w14:paraId="04B07E3D"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b) cartas de princípios, registros de reuniões ou eventos e outros documentos públicos de redes de que a celebrante participe ou tenha participado; ou </w:t>
      </w:r>
    </w:p>
    <w:p w14:paraId="01E7B026"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c) relatórios de atividades com comprovação das ações desenvolvidas em rede de que a celebrante participe ou tenha participado. </w:t>
      </w:r>
    </w:p>
    <w:p w14:paraId="305D5371" w14:textId="77777777" w:rsidR="006924CB" w:rsidRDefault="006924CB">
      <w:pPr>
        <w:jc w:val="both"/>
        <w:rPr>
          <w:rFonts w:ascii="Times New Roman" w:eastAsia="Times New Roman" w:hAnsi="Times New Roman" w:cs="Times New Roman"/>
        </w:rPr>
      </w:pPr>
    </w:p>
    <w:p w14:paraId="0756E20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lastRenderedPageBreak/>
        <w:t>XXX. A Administração Pública verificará se a OSC celebrante cumpre os requisitos previstos na Subcláusula sexta no momento da celebração da parceria. Subcláusula oitava. A OSC celebrante da parceria é responsável pelos atos realizados pela rede.</w:t>
      </w:r>
    </w:p>
    <w:p w14:paraId="2B29387A" w14:textId="77777777" w:rsidR="006924CB" w:rsidRDefault="006924CB">
      <w:pPr>
        <w:jc w:val="both"/>
        <w:rPr>
          <w:rFonts w:ascii="Times New Roman" w:eastAsia="Times New Roman" w:hAnsi="Times New Roman" w:cs="Times New Roman"/>
        </w:rPr>
      </w:pPr>
    </w:p>
    <w:p w14:paraId="67685A5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XXX. Para fins do disposto nesta Cláusula _____, os direitos e as obrigações da OSC celebrante perante a Administração Pública não poderão ser </w:t>
      </w:r>
      <w:proofErr w:type="spellStart"/>
      <w:r>
        <w:rPr>
          <w:rFonts w:ascii="Times New Roman" w:eastAsia="Times New Roman" w:hAnsi="Times New Roman" w:cs="Times New Roman"/>
        </w:rPr>
        <w:t>subrogados</w:t>
      </w:r>
      <w:proofErr w:type="spellEnd"/>
      <w:r>
        <w:rPr>
          <w:rFonts w:ascii="Times New Roman" w:eastAsia="Times New Roman" w:hAnsi="Times New Roman" w:cs="Times New Roman"/>
        </w:rPr>
        <w:t xml:space="preserve"> à organização da sociedade civil executante e não celebrante. </w:t>
      </w:r>
    </w:p>
    <w:p w14:paraId="295D9F88" w14:textId="77777777" w:rsidR="006924CB" w:rsidRDefault="006924CB">
      <w:pPr>
        <w:jc w:val="both"/>
        <w:rPr>
          <w:rFonts w:ascii="Times New Roman" w:eastAsia="Times New Roman" w:hAnsi="Times New Roman" w:cs="Times New Roman"/>
        </w:rPr>
      </w:pPr>
    </w:p>
    <w:p w14:paraId="07BDF08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XXX. Na hipótese de irregularidade ou desvio de finalidade na aplicação dos recursos da parceria, as organizações da sociedade civil executantes e não celebrantes responderão subsidiariamente até o limite do valor dos recursos recebidos ou pelo valor devido em razão de </w:t>
      </w:r>
      <w:proofErr w:type="spellStart"/>
      <w:r>
        <w:rPr>
          <w:rFonts w:ascii="Times New Roman" w:eastAsia="Times New Roman" w:hAnsi="Times New Roman" w:cs="Times New Roman"/>
        </w:rPr>
        <w:t>dano</w:t>
      </w:r>
      <w:proofErr w:type="spellEnd"/>
      <w:r>
        <w:rPr>
          <w:rFonts w:ascii="Times New Roman" w:eastAsia="Times New Roman" w:hAnsi="Times New Roman" w:cs="Times New Roman"/>
        </w:rPr>
        <w:t xml:space="preserve"> ao erário. </w:t>
      </w:r>
    </w:p>
    <w:p w14:paraId="1CC1803A" w14:textId="77777777" w:rsidR="006924CB" w:rsidRDefault="006924CB">
      <w:pPr>
        <w:jc w:val="both"/>
        <w:rPr>
          <w:rFonts w:ascii="Times New Roman" w:eastAsia="Times New Roman" w:hAnsi="Times New Roman" w:cs="Times New Roman"/>
        </w:rPr>
      </w:pPr>
    </w:p>
    <w:p w14:paraId="4660FD5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XXX. A Administração Pública avaliará e monitorará a OSC celebrante, que prestará informações sobre prazos, metas e ações executadas pelas organizações da sociedade civil executantes e não celebrantes. </w:t>
      </w:r>
    </w:p>
    <w:p w14:paraId="11E415BA" w14:textId="77777777" w:rsidR="006924CB" w:rsidRDefault="006924CB">
      <w:pPr>
        <w:jc w:val="both"/>
        <w:rPr>
          <w:rFonts w:ascii="Times New Roman" w:eastAsia="Times New Roman" w:hAnsi="Times New Roman" w:cs="Times New Roman"/>
        </w:rPr>
      </w:pPr>
    </w:p>
    <w:p w14:paraId="7622449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XXX. As organizações da sociedade civil executantes e não celebrantes deverão apresentar informações sobre a execução das ações, dos prazos e das metas e documentos e comprovantes de despesas, inclusive com o pessoal contratado, necessários à prestação de contas pela OSC celebrante da parceria, conforme descrito no termo de atuação em rede e no inciso I do parágrafo único do art. 35-A da Lei nº 13.019, de 2014. </w:t>
      </w:r>
    </w:p>
    <w:p w14:paraId="1BAEC574" w14:textId="77777777" w:rsidR="006924CB" w:rsidRDefault="006924CB">
      <w:pPr>
        <w:jc w:val="both"/>
        <w:rPr>
          <w:rFonts w:ascii="Times New Roman" w:eastAsia="Times New Roman" w:hAnsi="Times New Roman" w:cs="Times New Roman"/>
        </w:rPr>
      </w:pPr>
    </w:p>
    <w:p w14:paraId="1AD9B036"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XXX. O ressarcimento ao erário realizado pela OSC celebrante não afasta o seu direito de regresso contra as organizações da sociedade civil executantes e não celebrantes.</w:t>
      </w:r>
    </w:p>
    <w:p w14:paraId="2C49BC85" w14:textId="77777777" w:rsidR="006924CB" w:rsidRDefault="006924CB">
      <w:pPr>
        <w:widowControl w:val="0"/>
        <w:spacing w:line="280" w:lineRule="auto"/>
        <w:ind w:right="16"/>
        <w:jc w:val="both"/>
        <w:rPr>
          <w:rFonts w:ascii="Times New Roman" w:eastAsia="Times New Roman" w:hAnsi="Times New Roman" w:cs="Times New Roman"/>
          <w:highlight w:val="yellow"/>
        </w:rPr>
      </w:pPr>
    </w:p>
    <w:p w14:paraId="23D1F6EF" w14:textId="77777777" w:rsidR="006924CB" w:rsidRDefault="006924CB">
      <w:pPr>
        <w:jc w:val="both"/>
        <w:rPr>
          <w:rFonts w:ascii="Times New Roman" w:eastAsia="Times New Roman" w:hAnsi="Times New Roman" w:cs="Times New Roman"/>
        </w:rPr>
      </w:pPr>
    </w:p>
    <w:p w14:paraId="48FB06A4" w14:textId="77777777" w:rsidR="006924CB" w:rsidRDefault="002933D0">
      <w:pPr>
        <w:jc w:val="both"/>
        <w:rPr>
          <w:rFonts w:ascii="Times New Roman" w:eastAsia="Times New Roman" w:hAnsi="Times New Roman" w:cs="Times New Roman"/>
          <w:b/>
        </w:rPr>
      </w:pPr>
      <w:r>
        <w:rPr>
          <w:rFonts w:ascii="Times New Roman" w:eastAsia="Times New Roman" w:hAnsi="Times New Roman" w:cs="Times New Roman"/>
          <w:b/>
        </w:rPr>
        <w:t xml:space="preserve">CLÁUSULA OITAVA – DA PROTEÇÃO DE DADOS PESSOAIS </w:t>
      </w:r>
    </w:p>
    <w:p w14:paraId="613A96E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8.1 </w:t>
      </w:r>
      <w:r>
        <w:rPr>
          <w:rFonts w:ascii="Times New Roman" w:eastAsia="Times New Roman" w:hAnsi="Times New Roman" w:cs="Times New Roman"/>
        </w:rPr>
        <w:t xml:space="preserve">Para fins de execução deste Termo de Fomento (ou Termo de Colaboração), Administração Pública e OSC obrigam se a cumprir e manterem-se de acordo com as disposições e os princípios da Lei Geral de Proteção de Dados - Lei nº 13.709, de 2018 (LGPD), especialmente no que se refere à legalidade no tratamento dos dados pessoais a que tiverem acesso em razão deste instrumento. </w:t>
      </w:r>
    </w:p>
    <w:p w14:paraId="1FBCB14E" w14:textId="77777777" w:rsidR="006924CB" w:rsidRDefault="006924CB">
      <w:pPr>
        <w:jc w:val="both"/>
        <w:rPr>
          <w:rFonts w:ascii="Times New Roman" w:eastAsia="Times New Roman" w:hAnsi="Times New Roman" w:cs="Times New Roman"/>
        </w:rPr>
      </w:pPr>
    </w:p>
    <w:p w14:paraId="24EAC173" w14:textId="77777777" w:rsidR="006924CB" w:rsidRDefault="002933D0">
      <w:pPr>
        <w:jc w:val="both"/>
        <w:rPr>
          <w:rFonts w:ascii="Times New Roman" w:eastAsia="Times New Roman" w:hAnsi="Times New Roman" w:cs="Times New Roman"/>
        </w:rPr>
      </w:pPr>
      <w:proofErr w:type="gramStart"/>
      <w:r>
        <w:rPr>
          <w:rFonts w:ascii="Times New Roman" w:eastAsia="Times New Roman" w:hAnsi="Times New Roman" w:cs="Times New Roman"/>
          <w:b/>
        </w:rPr>
        <w:t>8.2</w:t>
      </w:r>
      <w:r>
        <w:rPr>
          <w:rFonts w:ascii="Times New Roman" w:eastAsia="Times New Roman" w:hAnsi="Times New Roman" w:cs="Times New Roman"/>
        </w:rPr>
        <w:t xml:space="preserve">  Em</w:t>
      </w:r>
      <w:proofErr w:type="gramEnd"/>
      <w:r>
        <w:rPr>
          <w:rFonts w:ascii="Times New Roman" w:eastAsia="Times New Roman" w:hAnsi="Times New Roman" w:cs="Times New Roman"/>
        </w:rPr>
        <w:t xml:space="preserve"> relação à LGPD, cada Partícipe será responsável isoladamente pelos atos a que derem causa, respondendo, inclusive, pelos atos praticados por seus prepostos e/ou empregados que estiverem em desconformidade com os preceitos normativos aplicáveis. </w:t>
      </w:r>
    </w:p>
    <w:p w14:paraId="5D0C1086" w14:textId="77777777" w:rsidR="006924CB" w:rsidRDefault="006924CB">
      <w:pPr>
        <w:jc w:val="both"/>
        <w:rPr>
          <w:rFonts w:ascii="Times New Roman" w:eastAsia="Times New Roman" w:hAnsi="Times New Roman" w:cs="Times New Roman"/>
        </w:rPr>
      </w:pPr>
    </w:p>
    <w:p w14:paraId="32E2C3E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8.3 </w:t>
      </w:r>
      <w:r>
        <w:rPr>
          <w:rFonts w:ascii="Times New Roman" w:eastAsia="Times New Roman" w:hAnsi="Times New Roman" w:cs="Times New Roman"/>
        </w:rPr>
        <w:t>Na ocorrência de qualquer incidente (perda, destruição e/ou exposição indesejada e/ou não autorizada) que envolva os dados pessoais tratados em razão do presente instrumento, deverá o Partícipe responsável pelo incidente comunicar imediatamente ao outro Partícipe, apresentando, no mínimo, as seguintes informações: (i) a descrição dos dados pessoais envolvidos;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a quantidade de dados pessoais envolvidos (volumetria do evento); e (</w:t>
      </w:r>
      <w:proofErr w:type="spellStart"/>
      <w:r>
        <w:rPr>
          <w:rFonts w:ascii="Times New Roman" w:eastAsia="Times New Roman" w:hAnsi="Times New Roman" w:cs="Times New Roman"/>
        </w:rPr>
        <w:t>iii</w:t>
      </w:r>
      <w:proofErr w:type="spellEnd"/>
      <w:r>
        <w:rPr>
          <w:rFonts w:ascii="Times New Roman" w:eastAsia="Times New Roman" w:hAnsi="Times New Roman" w:cs="Times New Roman"/>
        </w:rPr>
        <w:t xml:space="preserve">) quem são os titulares dos dados pessoais afetados pelo evento. </w:t>
      </w:r>
    </w:p>
    <w:p w14:paraId="4082BCAD" w14:textId="77777777" w:rsidR="006924CB" w:rsidRDefault="006924CB">
      <w:pPr>
        <w:jc w:val="both"/>
        <w:rPr>
          <w:rFonts w:ascii="Times New Roman" w:eastAsia="Times New Roman" w:hAnsi="Times New Roman" w:cs="Times New Roman"/>
        </w:rPr>
      </w:pPr>
    </w:p>
    <w:p w14:paraId="728D1C6D" w14:textId="77777777" w:rsidR="006924CB" w:rsidRDefault="002933D0">
      <w:pPr>
        <w:jc w:val="both"/>
        <w:rPr>
          <w:rFonts w:ascii="Times New Roman" w:eastAsia="Times New Roman" w:hAnsi="Times New Roman" w:cs="Times New Roman"/>
        </w:rPr>
      </w:pPr>
      <w:proofErr w:type="gramStart"/>
      <w:r>
        <w:rPr>
          <w:rFonts w:ascii="Times New Roman" w:eastAsia="Times New Roman" w:hAnsi="Times New Roman" w:cs="Times New Roman"/>
          <w:b/>
        </w:rPr>
        <w:t>8.4</w:t>
      </w:r>
      <w:r>
        <w:rPr>
          <w:rFonts w:ascii="Times New Roman" w:eastAsia="Times New Roman" w:hAnsi="Times New Roman" w:cs="Times New Roman"/>
        </w:rPr>
        <w:t xml:space="preserve">  Caso</w:t>
      </w:r>
      <w:proofErr w:type="gramEnd"/>
      <w:r>
        <w:rPr>
          <w:rFonts w:ascii="Times New Roman" w:eastAsia="Times New Roman" w:hAnsi="Times New Roman" w:cs="Times New Roman"/>
        </w:rPr>
        <w:t xml:space="preserve"> um dos Partícipes seja destinatário de ordem judicial ou notificação/requisição de qualquer órgão, agência, autoridade ou outra entidade oficial, relativa ao tratamento de dados pessoais que </w:t>
      </w:r>
      <w:r>
        <w:rPr>
          <w:rFonts w:ascii="Times New Roman" w:eastAsia="Times New Roman" w:hAnsi="Times New Roman" w:cs="Times New Roman"/>
        </w:rPr>
        <w:lastRenderedPageBreak/>
        <w:t>tenham sido compartilhados em decorrência do presente instrumento, o Partícipe notificado deverá, imediatamente, comunicar ao outro Partícipe.</w:t>
      </w:r>
    </w:p>
    <w:p w14:paraId="2A886ACC" w14:textId="77777777" w:rsidR="006924CB" w:rsidRDefault="006924CB">
      <w:pPr>
        <w:jc w:val="both"/>
        <w:rPr>
          <w:rFonts w:ascii="Times New Roman" w:eastAsia="Times New Roman" w:hAnsi="Times New Roman" w:cs="Times New Roman"/>
        </w:rPr>
      </w:pPr>
    </w:p>
    <w:p w14:paraId="4E75EED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8.5 </w:t>
      </w:r>
      <w:r>
        <w:rPr>
          <w:rFonts w:ascii="Times New Roman" w:eastAsia="Times New Roman" w:hAnsi="Times New Roman" w:cs="Times New Roman"/>
        </w:rPr>
        <w:t>Administração Pública e OSC se obrigam a, após o encerramento deste instrumento e/ou após o exaurimento das finalidades para as quais os dados pessoais foram coletados, o que vier primeiro, deletar e/ou destruir todos os documentos e informações recebidas do outro Partícipe contendo os dados pessoais fornecidos, sejam em meios físicos ou digitais, eliminando-os de seus arquivos e banco de dados, podendo ser mantidos os dados pessoais necessários para o cumprimento de obrigação legal ou regulatória e/ou para</w:t>
      </w:r>
      <w:r>
        <w:rPr>
          <w:rFonts w:ascii="Times New Roman" w:eastAsia="Times New Roman" w:hAnsi="Times New Roman" w:cs="Times New Roman"/>
        </w:rPr>
        <w:t xml:space="preserve"> o uso exclusivo do Partícipe, mediante a anonimização dos dados. </w:t>
      </w:r>
    </w:p>
    <w:p w14:paraId="1D58D366" w14:textId="77777777" w:rsidR="006924CB" w:rsidRDefault="006924CB">
      <w:pPr>
        <w:spacing w:line="280" w:lineRule="auto"/>
        <w:jc w:val="both"/>
        <w:rPr>
          <w:rFonts w:ascii="Times New Roman" w:eastAsia="Times New Roman" w:hAnsi="Times New Roman" w:cs="Times New Roman"/>
        </w:rPr>
      </w:pPr>
    </w:p>
    <w:p w14:paraId="73B2BE5A"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NONA – DO MONITORAMENTO E AVALIAÇÃO</w:t>
      </w:r>
    </w:p>
    <w:p w14:paraId="2B3D7BC8"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9.1</w:t>
      </w:r>
      <w:r>
        <w:rPr>
          <w:rFonts w:ascii="Times New Roman" w:eastAsia="Times New Roman" w:hAnsi="Times New Roman" w:cs="Times New Roman"/>
        </w:rPr>
        <w:t xml:space="preserve"> O Concedente (ou proponente- no caso de Termo de Colaboração) promoverá o monitoramento e a avaliação do cumprimento do objeto da parceria, podendo valer-se do apoio técnico de terceiros, delegar competência ou firmar parcerias com órgãos ou entidades que se situem próximos ao local de aplicação dos recursos.</w:t>
      </w:r>
    </w:p>
    <w:p w14:paraId="70C26F83" w14:textId="77777777" w:rsidR="006924CB" w:rsidRDefault="006924CB">
      <w:pPr>
        <w:widowControl w:val="0"/>
        <w:spacing w:line="280" w:lineRule="auto"/>
        <w:ind w:right="16"/>
        <w:jc w:val="both"/>
        <w:rPr>
          <w:rFonts w:ascii="Times New Roman" w:eastAsia="Times New Roman" w:hAnsi="Times New Roman" w:cs="Times New Roman"/>
        </w:rPr>
      </w:pPr>
    </w:p>
    <w:p w14:paraId="6E3CD5D8"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9.2</w:t>
      </w:r>
      <w:r>
        <w:rPr>
          <w:rFonts w:ascii="Times New Roman" w:eastAsia="Times New Roman" w:hAnsi="Times New Roman" w:cs="Times New Roman"/>
        </w:rPr>
        <w:t xml:space="preserve"> Nas parcerias com vigência superior a um ano, o Concedente (ou proponente- no caso de Termo de Colaboração) realizará,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 podendo valer-se do apoio técnico de terceiros, delegar competência ou firmar parcerias com órgãos ou entidades que se</w:t>
      </w:r>
      <w:r>
        <w:rPr>
          <w:rFonts w:ascii="Times New Roman" w:eastAsia="Times New Roman" w:hAnsi="Times New Roman" w:cs="Times New Roman"/>
        </w:rPr>
        <w:t xml:space="preserve"> situem próximos ao local de aplicação dos recursos.</w:t>
      </w:r>
    </w:p>
    <w:p w14:paraId="2EE4B6FB" w14:textId="77777777" w:rsidR="006924CB" w:rsidRDefault="006924CB">
      <w:pPr>
        <w:widowControl w:val="0"/>
        <w:spacing w:line="280" w:lineRule="auto"/>
        <w:ind w:right="16"/>
        <w:jc w:val="both"/>
        <w:rPr>
          <w:rFonts w:ascii="Times New Roman" w:eastAsia="Times New Roman" w:hAnsi="Times New Roman" w:cs="Times New Roman"/>
        </w:rPr>
      </w:pPr>
    </w:p>
    <w:p w14:paraId="174C8A3C"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9.3 </w:t>
      </w:r>
      <w:r>
        <w:rPr>
          <w:rFonts w:ascii="Times New Roman" w:eastAsia="Times New Roman" w:hAnsi="Times New Roman" w:cs="Times New Roman"/>
        </w:rPr>
        <w:t>O Concedente (ou proponente- no caso de Termo de Colaboração) disponibilizará materiais e equipamentos tecnológicos necessários às atividades de monitoramento e avaliação.</w:t>
      </w:r>
    </w:p>
    <w:p w14:paraId="6E5FEB79" w14:textId="77777777" w:rsidR="006924CB" w:rsidRDefault="006924CB">
      <w:pPr>
        <w:widowControl w:val="0"/>
        <w:spacing w:line="280" w:lineRule="auto"/>
        <w:ind w:right="16"/>
        <w:jc w:val="both"/>
        <w:rPr>
          <w:rFonts w:ascii="Times New Roman" w:eastAsia="Times New Roman" w:hAnsi="Times New Roman" w:cs="Times New Roman"/>
        </w:rPr>
      </w:pPr>
    </w:p>
    <w:p w14:paraId="70D96C54"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9.4</w:t>
      </w:r>
      <w:r>
        <w:rPr>
          <w:rFonts w:ascii="Times New Roman" w:eastAsia="Times New Roman" w:hAnsi="Times New Roman" w:cs="Times New Roman"/>
        </w:rPr>
        <w:t xml:space="preserve"> O Concedente (ou proponente- no caso de Termo de Colaboração) nomeia como fiscal da parceria o(a) servidor(a) ______________________________________, por meio de Portaria, publicada no Diário Oficial do Estado, com vinculação à área técnica do objeto pactuado, que terá como atribuição a fiscalização do presente Termo de Fomento (ou Termo de Colaboração), responsabilizando-se pelo acompanhamento, fiscalização e análise da prestação de contas da execução física do objeto.</w:t>
      </w:r>
    </w:p>
    <w:p w14:paraId="601DB798" w14:textId="77777777" w:rsidR="006924CB" w:rsidRDefault="006924CB">
      <w:pPr>
        <w:widowControl w:val="0"/>
        <w:spacing w:line="280" w:lineRule="auto"/>
        <w:ind w:right="16"/>
        <w:jc w:val="both"/>
        <w:rPr>
          <w:rFonts w:ascii="Times New Roman" w:eastAsia="Times New Roman" w:hAnsi="Times New Roman" w:cs="Times New Roman"/>
        </w:rPr>
      </w:pPr>
    </w:p>
    <w:p w14:paraId="6F191D67"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9.5</w:t>
      </w:r>
      <w:r>
        <w:rPr>
          <w:rFonts w:ascii="Times New Roman" w:eastAsia="Times New Roman" w:hAnsi="Times New Roman" w:cs="Times New Roman"/>
        </w:rPr>
        <w:t xml:space="preserve"> O Concedente (ou proponente- no caso de Termo de Colaboração) nomeia como gestor o(a) servidor(a)_________________________________, agente público responsável pela gestão da parceria celebrada por termo de fomento, designado por ato publicado em meio oficial de comunicação, com poderes de controle e fiscalização.</w:t>
      </w:r>
    </w:p>
    <w:p w14:paraId="3189FACB" w14:textId="77777777" w:rsidR="006924CB" w:rsidRDefault="006924CB">
      <w:pPr>
        <w:widowControl w:val="0"/>
        <w:spacing w:line="280" w:lineRule="auto"/>
        <w:ind w:right="16"/>
        <w:jc w:val="both"/>
        <w:rPr>
          <w:rFonts w:ascii="Times New Roman" w:eastAsia="Times New Roman" w:hAnsi="Times New Roman" w:cs="Times New Roman"/>
        </w:rPr>
      </w:pPr>
    </w:p>
    <w:p w14:paraId="156719B0"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9.6</w:t>
      </w:r>
      <w:r>
        <w:rPr>
          <w:rFonts w:ascii="Times New Roman" w:eastAsia="Times New Roman" w:hAnsi="Times New Roman" w:cs="Times New Roman"/>
        </w:rPr>
        <w:t xml:space="preserve"> O Concedente (ou proponente- no caso de Termo de Colaboração) nomeia como parte da comissão de monitoramento e avaliação os servidores ___________________________, que farão parte do órgão colegiado destinado a monitorar e avaliar as parcerias celebradas com organizações da sociedade civil mediante termo de fomento (ou termo de colaboração), constituído por ato publicado em meio oficial de comunicação, assegurada a participação de pelo menos um servidor ocupante de cargo efetivo ou emprego permanente do qu</w:t>
      </w:r>
      <w:r>
        <w:rPr>
          <w:rFonts w:ascii="Times New Roman" w:eastAsia="Times New Roman" w:hAnsi="Times New Roman" w:cs="Times New Roman"/>
        </w:rPr>
        <w:t>adro de pessoal da administração pública estadual.</w:t>
      </w:r>
    </w:p>
    <w:p w14:paraId="2F51238B" w14:textId="77777777" w:rsidR="006924CB" w:rsidRDefault="006924CB">
      <w:pPr>
        <w:widowControl w:val="0"/>
        <w:spacing w:line="280" w:lineRule="auto"/>
        <w:ind w:right="16"/>
        <w:jc w:val="both"/>
        <w:rPr>
          <w:rFonts w:ascii="Times New Roman" w:eastAsia="Times New Roman" w:hAnsi="Times New Roman" w:cs="Times New Roman"/>
        </w:rPr>
      </w:pPr>
    </w:p>
    <w:p w14:paraId="56CD6496"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lastRenderedPageBreak/>
        <w:t>9.7</w:t>
      </w:r>
      <w:r>
        <w:rPr>
          <w:rFonts w:ascii="Times New Roman" w:eastAsia="Times New Roman" w:hAnsi="Times New Roman" w:cs="Times New Roman"/>
        </w:rPr>
        <w:t xml:space="preserve"> Será impedida de participar como gestor da parceria ou como membro da comissão de monitoramento e avaliação pessoa que, nos últimos cinco anos, tenha mantido relação jurídica com, ao menos, uma das organizações da sociedade civil partícipes.</w:t>
      </w:r>
    </w:p>
    <w:p w14:paraId="2098A736" w14:textId="77777777" w:rsidR="006924CB" w:rsidRDefault="006924CB">
      <w:pPr>
        <w:widowControl w:val="0"/>
        <w:spacing w:line="280" w:lineRule="auto"/>
        <w:ind w:right="16"/>
        <w:jc w:val="both"/>
        <w:rPr>
          <w:rFonts w:ascii="Times New Roman" w:eastAsia="Times New Roman" w:hAnsi="Times New Roman" w:cs="Times New Roman"/>
        </w:rPr>
      </w:pPr>
    </w:p>
    <w:p w14:paraId="1B53787E"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9.8.</w:t>
      </w:r>
      <w:r>
        <w:rPr>
          <w:rFonts w:ascii="Times New Roman" w:eastAsia="Times New Roman" w:hAnsi="Times New Roman" w:cs="Times New Roman"/>
        </w:rPr>
        <w:t xml:space="preserve"> Configurado o impedimento do gestor da parceria ou membro da comissão de monitoramento e avaliação, deverá ser designado gestor ou membro substituto que possua qualificação técnica equivalente à do substituído.</w:t>
      </w:r>
    </w:p>
    <w:p w14:paraId="6C424440" w14:textId="77777777" w:rsidR="006924CB" w:rsidRDefault="006924CB">
      <w:pPr>
        <w:widowControl w:val="0"/>
        <w:spacing w:line="280" w:lineRule="auto"/>
        <w:ind w:right="16"/>
        <w:jc w:val="both"/>
        <w:rPr>
          <w:rFonts w:ascii="Times New Roman" w:eastAsia="Times New Roman" w:hAnsi="Times New Roman" w:cs="Times New Roman"/>
        </w:rPr>
      </w:pPr>
    </w:p>
    <w:p w14:paraId="45413A38"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9.9.</w:t>
      </w:r>
      <w:r>
        <w:rPr>
          <w:rFonts w:ascii="Times New Roman" w:eastAsia="Times New Roman" w:hAnsi="Times New Roman" w:cs="Times New Roman"/>
        </w:rPr>
        <w:t xml:space="preserve"> Na hipótese de o gestor da parceria deixar de ser agente público ou ser lotado em outro órgão ou entidade, o administrador público estadual deverá designar novo gestor, assumindo, enquanto isso não ocorrer, todas as obrigações do gestor, com as respectivas responsabilidades.</w:t>
      </w:r>
    </w:p>
    <w:p w14:paraId="726350A1" w14:textId="77777777" w:rsidR="006924CB" w:rsidRDefault="006924CB">
      <w:pPr>
        <w:widowControl w:val="0"/>
        <w:spacing w:line="280" w:lineRule="auto"/>
        <w:ind w:right="16"/>
        <w:jc w:val="both"/>
        <w:rPr>
          <w:rFonts w:ascii="Times New Roman" w:eastAsia="Times New Roman" w:hAnsi="Times New Roman" w:cs="Times New Roman"/>
        </w:rPr>
      </w:pPr>
    </w:p>
    <w:p w14:paraId="67192BF8"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9.10. </w:t>
      </w:r>
      <w:r>
        <w:rPr>
          <w:rFonts w:ascii="Times New Roman" w:eastAsia="Times New Roman" w:hAnsi="Times New Roman" w:cs="Times New Roman"/>
        </w:rPr>
        <w:t>O fiscal da parceria emitirá relatório técnico de monitoramento e avaliação de parceria celebrada mediante Termo de Fomento (ou Termo de Colaboração) e o submeterá à comissão de monitoramento e avaliação designada, que o homologará, independentemente da obrigatoriedade de apresentação da prestação de contas devida pela organização da sociedade civil.</w:t>
      </w:r>
    </w:p>
    <w:p w14:paraId="4BB8B01F" w14:textId="77777777" w:rsidR="006924CB" w:rsidRDefault="006924CB">
      <w:pPr>
        <w:widowControl w:val="0"/>
        <w:spacing w:line="280" w:lineRule="auto"/>
        <w:ind w:right="16"/>
        <w:jc w:val="both"/>
        <w:rPr>
          <w:rFonts w:ascii="Times New Roman" w:eastAsia="Times New Roman" w:hAnsi="Times New Roman" w:cs="Times New Roman"/>
        </w:rPr>
      </w:pPr>
    </w:p>
    <w:p w14:paraId="074965BD" w14:textId="77777777" w:rsidR="006924CB" w:rsidRDefault="002933D0">
      <w:pPr>
        <w:widowControl w:val="0"/>
        <w:spacing w:line="280" w:lineRule="auto"/>
        <w:ind w:left="566" w:right="16"/>
        <w:jc w:val="both"/>
        <w:rPr>
          <w:rFonts w:ascii="Times New Roman" w:eastAsia="Times New Roman" w:hAnsi="Times New Roman" w:cs="Times New Roman"/>
        </w:rPr>
      </w:pPr>
      <w:r>
        <w:rPr>
          <w:rFonts w:ascii="Times New Roman" w:eastAsia="Times New Roman" w:hAnsi="Times New Roman" w:cs="Times New Roman"/>
          <w:b/>
        </w:rPr>
        <w:t xml:space="preserve">9.10.1 </w:t>
      </w:r>
      <w:r>
        <w:rPr>
          <w:rFonts w:ascii="Times New Roman" w:eastAsia="Times New Roman" w:hAnsi="Times New Roman" w:cs="Times New Roman"/>
        </w:rPr>
        <w:t>O relatório técnico de monitoramento e avaliação da parceria, sem prejuízo de outros elementos, deverá conter:</w:t>
      </w:r>
    </w:p>
    <w:p w14:paraId="25D0BA49" w14:textId="77777777" w:rsidR="006924CB" w:rsidRDefault="002933D0" w:rsidP="00FE1ADF">
      <w:pPr>
        <w:widowControl w:val="0"/>
        <w:numPr>
          <w:ilvl w:val="0"/>
          <w:numId w:val="26"/>
        </w:numPr>
        <w:spacing w:line="280" w:lineRule="auto"/>
        <w:ind w:left="566" w:right="16" w:firstLine="0"/>
        <w:jc w:val="both"/>
        <w:rPr>
          <w:rFonts w:ascii="Times New Roman" w:eastAsia="Times New Roman" w:hAnsi="Times New Roman" w:cs="Times New Roman"/>
        </w:rPr>
      </w:pPr>
      <w:r>
        <w:rPr>
          <w:rFonts w:ascii="Times New Roman" w:eastAsia="Times New Roman" w:hAnsi="Times New Roman" w:cs="Times New Roman"/>
        </w:rPr>
        <w:t>descrição sumária das atividades e metas estabelecidas;</w:t>
      </w:r>
    </w:p>
    <w:p w14:paraId="538745F4" w14:textId="77777777" w:rsidR="006924CB" w:rsidRDefault="002933D0" w:rsidP="00FE1ADF">
      <w:pPr>
        <w:widowControl w:val="0"/>
        <w:numPr>
          <w:ilvl w:val="0"/>
          <w:numId w:val="26"/>
        </w:numPr>
        <w:spacing w:line="280" w:lineRule="auto"/>
        <w:ind w:left="566" w:right="16" w:firstLine="0"/>
        <w:jc w:val="both"/>
        <w:rPr>
          <w:rFonts w:ascii="Times New Roman" w:eastAsia="Times New Roman" w:hAnsi="Times New Roman" w:cs="Times New Roman"/>
        </w:rPr>
      </w:pPr>
      <w:r>
        <w:rPr>
          <w:rFonts w:ascii="Times New Roman" w:eastAsia="Times New Roman" w:hAnsi="Times New Roman" w:cs="Times New Roman"/>
        </w:rPr>
        <w:t>análise das atividades realizadas, do cumprimento das metas e do impacto do benefício social obtido em razão da execução do objeto até o período, com base nos indicadores estabelecidos e aprovados no plano de trabalho;</w:t>
      </w:r>
    </w:p>
    <w:p w14:paraId="07938DC4" w14:textId="77777777" w:rsidR="006924CB" w:rsidRDefault="002933D0" w:rsidP="00FE1ADF">
      <w:pPr>
        <w:widowControl w:val="0"/>
        <w:numPr>
          <w:ilvl w:val="0"/>
          <w:numId w:val="26"/>
        </w:numPr>
        <w:spacing w:line="280" w:lineRule="auto"/>
        <w:ind w:left="566" w:right="16" w:firstLine="0"/>
        <w:jc w:val="both"/>
        <w:rPr>
          <w:rFonts w:ascii="Times New Roman" w:eastAsia="Times New Roman" w:hAnsi="Times New Roman" w:cs="Times New Roman"/>
        </w:rPr>
      </w:pPr>
      <w:r>
        <w:rPr>
          <w:rFonts w:ascii="Times New Roman" w:eastAsia="Times New Roman" w:hAnsi="Times New Roman" w:cs="Times New Roman"/>
        </w:rPr>
        <w:t>valores efetivamente transferidos pelo Concedente;</w:t>
      </w:r>
    </w:p>
    <w:p w14:paraId="42B24FCD" w14:textId="77777777" w:rsidR="006924CB" w:rsidRDefault="002933D0" w:rsidP="00FE1ADF">
      <w:pPr>
        <w:widowControl w:val="0"/>
        <w:numPr>
          <w:ilvl w:val="0"/>
          <w:numId w:val="26"/>
        </w:numPr>
        <w:spacing w:line="280" w:lineRule="auto"/>
        <w:ind w:left="566" w:right="16" w:firstLine="0"/>
        <w:jc w:val="both"/>
        <w:rPr>
          <w:rFonts w:ascii="Times New Roman" w:eastAsia="Times New Roman" w:hAnsi="Times New Roman" w:cs="Times New Roman"/>
        </w:rPr>
      </w:pPr>
      <w:r>
        <w:rPr>
          <w:rFonts w:ascii="Times New Roman" w:eastAsia="Times New Roman" w:hAnsi="Times New Roman" w:cs="Times New Roman"/>
        </w:rPr>
        <w:t>análise dos documentos comprobatórios das despesas apresentados pela organização da sociedade civil na prestação de contas, quando não for comprovado o alcance das metas e resultados estabelecidos no respectivo termo de fomento;</w:t>
      </w:r>
    </w:p>
    <w:p w14:paraId="4DAC3CC5" w14:textId="77777777" w:rsidR="006924CB" w:rsidRDefault="002933D0" w:rsidP="00FE1ADF">
      <w:pPr>
        <w:widowControl w:val="0"/>
        <w:numPr>
          <w:ilvl w:val="0"/>
          <w:numId w:val="26"/>
        </w:numPr>
        <w:spacing w:line="280" w:lineRule="auto"/>
        <w:ind w:left="566" w:right="16" w:firstLine="0"/>
        <w:jc w:val="both"/>
        <w:rPr>
          <w:rFonts w:ascii="Times New Roman" w:eastAsia="Times New Roman" w:hAnsi="Times New Roman" w:cs="Times New Roman"/>
        </w:rPr>
      </w:pPr>
      <w:r>
        <w:rPr>
          <w:rFonts w:ascii="Times New Roman" w:eastAsia="Times New Roman" w:hAnsi="Times New Roman" w:cs="Times New Roman"/>
        </w:rPr>
        <w:t>análise de eventuais auditorias realizadas pelos controles interno e externo, no âmbito da fiscalização preventiva, bem como de suas conclusões e das medidas que tomaram em decorrência dessas auditorias.</w:t>
      </w:r>
    </w:p>
    <w:p w14:paraId="63A42E7A" w14:textId="77777777" w:rsidR="006924CB" w:rsidRDefault="006924CB">
      <w:pPr>
        <w:widowControl w:val="0"/>
        <w:spacing w:line="280" w:lineRule="auto"/>
        <w:ind w:left="1876" w:right="16"/>
        <w:jc w:val="both"/>
        <w:rPr>
          <w:rFonts w:ascii="Times New Roman" w:eastAsia="Times New Roman" w:hAnsi="Times New Roman" w:cs="Times New Roman"/>
        </w:rPr>
      </w:pPr>
    </w:p>
    <w:p w14:paraId="2C97E127" w14:textId="77777777" w:rsidR="006924CB" w:rsidRDefault="002933D0">
      <w:pPr>
        <w:widowControl w:val="0"/>
        <w:spacing w:line="280" w:lineRule="auto"/>
        <w:ind w:left="566" w:right="16"/>
        <w:jc w:val="both"/>
        <w:rPr>
          <w:rFonts w:ascii="Times New Roman" w:eastAsia="Times New Roman" w:hAnsi="Times New Roman" w:cs="Times New Roman"/>
        </w:rPr>
      </w:pPr>
      <w:r>
        <w:rPr>
          <w:rFonts w:ascii="Times New Roman" w:eastAsia="Times New Roman" w:hAnsi="Times New Roman" w:cs="Times New Roman"/>
          <w:b/>
        </w:rPr>
        <w:t>9.10.2</w:t>
      </w:r>
      <w:r>
        <w:rPr>
          <w:rFonts w:ascii="Times New Roman" w:eastAsia="Times New Roman" w:hAnsi="Times New Roman" w:cs="Times New Roman"/>
        </w:rPr>
        <w:t xml:space="preserve"> No caso de parceria, cuja execução se dê através do repasse de somente uma parcela, o fiscal da parceria emitirá relatório técnico de monitoramento e avaliação da parceria, no mínimo em uma ocasião, relativo aos atos que já foram executados, apontando quais são as perspectivas de cumprimento do objeto no prazo estabelecido.</w:t>
      </w:r>
    </w:p>
    <w:p w14:paraId="59A55F0C" w14:textId="77777777" w:rsidR="006924CB" w:rsidRDefault="006924CB">
      <w:pPr>
        <w:widowControl w:val="0"/>
        <w:spacing w:line="280" w:lineRule="auto"/>
        <w:ind w:left="566" w:right="16"/>
        <w:jc w:val="both"/>
        <w:rPr>
          <w:rFonts w:ascii="Times New Roman" w:eastAsia="Times New Roman" w:hAnsi="Times New Roman" w:cs="Times New Roman"/>
        </w:rPr>
      </w:pPr>
    </w:p>
    <w:p w14:paraId="383C2CF2" w14:textId="77777777" w:rsidR="006924CB" w:rsidRDefault="002933D0">
      <w:pPr>
        <w:widowControl w:val="0"/>
        <w:spacing w:line="280" w:lineRule="auto"/>
        <w:ind w:left="566" w:right="16"/>
        <w:jc w:val="both"/>
        <w:rPr>
          <w:rFonts w:ascii="Times New Roman" w:eastAsia="Times New Roman" w:hAnsi="Times New Roman" w:cs="Times New Roman"/>
        </w:rPr>
      </w:pPr>
      <w:r>
        <w:rPr>
          <w:rFonts w:ascii="Times New Roman" w:eastAsia="Times New Roman" w:hAnsi="Times New Roman" w:cs="Times New Roman"/>
          <w:b/>
        </w:rPr>
        <w:t>9.10.3</w:t>
      </w:r>
      <w:r>
        <w:rPr>
          <w:rFonts w:ascii="Times New Roman" w:eastAsia="Times New Roman" w:hAnsi="Times New Roman" w:cs="Times New Roman"/>
        </w:rPr>
        <w:t xml:space="preserve"> No caso de parcerias financiadas com recursos de fundos específicos, o monitoramento e a avaliação serão realizados pelos respectivos conselhos gestores, respeitadas as exigências da Lei 13.019/2014.</w:t>
      </w:r>
    </w:p>
    <w:p w14:paraId="779514BB" w14:textId="77777777" w:rsidR="006924CB" w:rsidRDefault="006924CB">
      <w:pPr>
        <w:widowControl w:val="0"/>
        <w:spacing w:line="360" w:lineRule="auto"/>
        <w:ind w:right="16"/>
        <w:jc w:val="both"/>
        <w:rPr>
          <w:rFonts w:ascii="Times New Roman" w:eastAsia="Times New Roman" w:hAnsi="Times New Roman" w:cs="Times New Roman"/>
        </w:rPr>
      </w:pPr>
    </w:p>
    <w:p w14:paraId="2D493B74" w14:textId="77777777" w:rsidR="006924CB" w:rsidRDefault="002933D0">
      <w:pPr>
        <w:widowControl w:val="0"/>
        <w:spacing w:line="36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DÉCIMA – DAS OBRIGAÇÕES DO FISCAL, DO GESTOR E DA COMISSÃO DE MONITORAMENTO E AVALIAÇÃO</w:t>
      </w:r>
    </w:p>
    <w:p w14:paraId="6D7A8BCF"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10.1</w:t>
      </w:r>
      <w:r>
        <w:rPr>
          <w:rFonts w:ascii="Times New Roman" w:eastAsia="Times New Roman" w:hAnsi="Times New Roman" w:cs="Times New Roman"/>
        </w:rPr>
        <w:t xml:space="preserve"> São obrigações do fiscal da parceria: </w:t>
      </w:r>
    </w:p>
    <w:p w14:paraId="115266A8" w14:textId="77777777" w:rsidR="006924CB" w:rsidRDefault="002933D0" w:rsidP="00FE1ADF">
      <w:pPr>
        <w:widowControl w:val="0"/>
        <w:numPr>
          <w:ilvl w:val="0"/>
          <w:numId w:val="27"/>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lastRenderedPageBreak/>
        <w:t>acompanhar e fiscalizar a execução da parceria;</w:t>
      </w:r>
    </w:p>
    <w:p w14:paraId="21390896" w14:textId="77777777" w:rsidR="006924CB" w:rsidRDefault="002933D0" w:rsidP="00FE1ADF">
      <w:pPr>
        <w:widowControl w:val="0"/>
        <w:numPr>
          <w:ilvl w:val="0"/>
          <w:numId w:val="27"/>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240B15E5" w14:textId="77777777" w:rsidR="006924CB" w:rsidRDefault="002933D0" w:rsidP="00FE1ADF">
      <w:pPr>
        <w:widowControl w:val="0"/>
        <w:numPr>
          <w:ilvl w:val="0"/>
          <w:numId w:val="27"/>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emitir relatório técnico de monitoramento e avaliação da parceria.</w:t>
      </w:r>
    </w:p>
    <w:p w14:paraId="5853BCE5" w14:textId="77777777" w:rsidR="006924CB" w:rsidRDefault="006924CB">
      <w:pPr>
        <w:widowControl w:val="0"/>
        <w:spacing w:line="280" w:lineRule="auto"/>
        <w:ind w:left="720" w:right="16"/>
        <w:jc w:val="both"/>
        <w:rPr>
          <w:rFonts w:ascii="Times New Roman" w:eastAsia="Times New Roman" w:hAnsi="Times New Roman" w:cs="Times New Roman"/>
        </w:rPr>
      </w:pPr>
    </w:p>
    <w:p w14:paraId="1F827AB4"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10.2</w:t>
      </w:r>
      <w:r>
        <w:rPr>
          <w:rFonts w:ascii="Times New Roman" w:eastAsia="Times New Roman" w:hAnsi="Times New Roman" w:cs="Times New Roman"/>
        </w:rPr>
        <w:t xml:space="preserve"> São obrigações do gestor:</w:t>
      </w:r>
    </w:p>
    <w:p w14:paraId="6BAA193D" w14:textId="77777777" w:rsidR="006924CB" w:rsidRDefault="002933D0" w:rsidP="00FE1ADF">
      <w:pPr>
        <w:widowControl w:val="0"/>
        <w:numPr>
          <w:ilvl w:val="0"/>
          <w:numId w:val="6"/>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emitir parecer financeiro conclusivo sobre as prestações de contas parciais e final apresentadas pela organização da sociedade civil quanto à correta execução e regular aplicação dos recursos da parceria;</w:t>
      </w:r>
    </w:p>
    <w:p w14:paraId="77972ECB" w14:textId="77777777" w:rsidR="006924CB" w:rsidRDefault="002933D0" w:rsidP="00FE1ADF">
      <w:pPr>
        <w:widowControl w:val="0"/>
        <w:numPr>
          <w:ilvl w:val="0"/>
          <w:numId w:val="6"/>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realizar a gestão dos instrumentos celebrados no tocante ao controle dos procedimentos de celebração, execução e prestação de contas;</w:t>
      </w:r>
    </w:p>
    <w:p w14:paraId="7DEB28D7" w14:textId="77777777" w:rsidR="006924CB" w:rsidRDefault="002933D0" w:rsidP="00FE1ADF">
      <w:pPr>
        <w:widowControl w:val="0"/>
        <w:numPr>
          <w:ilvl w:val="0"/>
          <w:numId w:val="6"/>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realizar a gestão dos instrumentos celebrados no tocante ao controle dos procedimentos de celebração, execução e prestação de contas;</w:t>
      </w:r>
    </w:p>
    <w:p w14:paraId="418AAD20" w14:textId="77777777" w:rsidR="006924CB" w:rsidRDefault="002933D0" w:rsidP="00FE1ADF">
      <w:pPr>
        <w:widowControl w:val="0"/>
        <w:numPr>
          <w:ilvl w:val="0"/>
          <w:numId w:val="6"/>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comunicar ao Concedente as hipóteses de inexecução por culpa exclusiva da organização da sociedade civil.</w:t>
      </w:r>
    </w:p>
    <w:p w14:paraId="0020898F" w14:textId="77777777" w:rsidR="006924CB" w:rsidRDefault="006924CB">
      <w:pPr>
        <w:widowControl w:val="0"/>
        <w:spacing w:line="280" w:lineRule="auto"/>
        <w:ind w:right="16"/>
        <w:jc w:val="both"/>
        <w:rPr>
          <w:rFonts w:ascii="Times New Roman" w:eastAsia="Times New Roman" w:hAnsi="Times New Roman" w:cs="Times New Roman"/>
          <w:b/>
        </w:rPr>
      </w:pPr>
    </w:p>
    <w:p w14:paraId="7B49D9C2"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10.3 </w:t>
      </w:r>
      <w:r>
        <w:rPr>
          <w:rFonts w:ascii="Times New Roman" w:eastAsia="Times New Roman" w:hAnsi="Times New Roman" w:cs="Times New Roman"/>
        </w:rPr>
        <w:t xml:space="preserve">São obrigações da Comissão de Monitoramento e Avaliação: </w:t>
      </w:r>
    </w:p>
    <w:p w14:paraId="5B33EB20" w14:textId="77777777" w:rsidR="006924CB" w:rsidRDefault="002933D0" w:rsidP="00FE1ADF">
      <w:pPr>
        <w:widowControl w:val="0"/>
        <w:numPr>
          <w:ilvl w:val="0"/>
          <w:numId w:val="1"/>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monitorar e avaliar as parcerias celebradas com as organizações da sociedade civil;</w:t>
      </w:r>
    </w:p>
    <w:p w14:paraId="71D01864" w14:textId="77777777" w:rsidR="006924CB" w:rsidRDefault="002933D0" w:rsidP="00FE1ADF">
      <w:pPr>
        <w:widowControl w:val="0"/>
        <w:numPr>
          <w:ilvl w:val="0"/>
          <w:numId w:val="1"/>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emitir parecer técnico conclusivo, levando em consideração o conteúdo do relatório técnico de monitoramento e avaliação e do parecer financeiro conclusivo.</w:t>
      </w:r>
    </w:p>
    <w:p w14:paraId="5744B880" w14:textId="77777777" w:rsidR="006924CB" w:rsidRDefault="006924CB">
      <w:pPr>
        <w:widowControl w:val="0"/>
        <w:spacing w:line="280" w:lineRule="auto"/>
        <w:ind w:right="16"/>
        <w:jc w:val="both"/>
        <w:rPr>
          <w:rFonts w:ascii="Times New Roman" w:eastAsia="Times New Roman" w:hAnsi="Times New Roman" w:cs="Times New Roman"/>
          <w:b/>
        </w:rPr>
      </w:pPr>
    </w:p>
    <w:p w14:paraId="0266F03A"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10.4 </w:t>
      </w:r>
      <w:r>
        <w:rPr>
          <w:rFonts w:ascii="Times New Roman" w:eastAsia="Times New Roman" w:hAnsi="Times New Roman" w:cs="Times New Roman"/>
        </w:rPr>
        <w:t>Na hipótese de inexecução por culpa exclusiva da organização da sociedade civil, o Concedente (ou Proponente, no caso de Termo de Colaboração) poderá, exclusivamente para assegurar o atendimento de serviços essenciais à população, por ato próprio e independentemente de autorização judicial, a fim de realizar ou manter a execução das metas ou atividades pactuadas:</w:t>
      </w:r>
    </w:p>
    <w:p w14:paraId="421A9FDC" w14:textId="77777777" w:rsidR="006924CB" w:rsidRDefault="002933D0" w:rsidP="00FE1ADF">
      <w:pPr>
        <w:widowControl w:val="0"/>
        <w:numPr>
          <w:ilvl w:val="0"/>
          <w:numId w:val="31"/>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retomar os bens públicos em poder da organização da sociedade civil parceira, qualquer que tenha sido a modalidade ou título que concedeu direitos de uso de tais bens;</w:t>
      </w:r>
    </w:p>
    <w:p w14:paraId="12739D02" w14:textId="77777777" w:rsidR="006924CB" w:rsidRDefault="002933D0" w:rsidP="00FE1ADF">
      <w:pPr>
        <w:widowControl w:val="0"/>
        <w:numPr>
          <w:ilvl w:val="0"/>
          <w:numId w:val="31"/>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 responsabilidades.</w:t>
      </w:r>
    </w:p>
    <w:p w14:paraId="785B1749" w14:textId="77777777" w:rsidR="006924CB" w:rsidRDefault="006924CB">
      <w:pPr>
        <w:widowControl w:val="0"/>
        <w:spacing w:line="280" w:lineRule="auto"/>
        <w:ind w:right="16"/>
        <w:jc w:val="both"/>
        <w:rPr>
          <w:rFonts w:ascii="Times New Roman" w:eastAsia="Times New Roman" w:hAnsi="Times New Roman" w:cs="Times New Roman"/>
        </w:rPr>
      </w:pPr>
    </w:p>
    <w:p w14:paraId="5999493F"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DÉCIMA PRIMEIRA – DA PRESTAÇÃO DE CONTAS</w:t>
      </w:r>
    </w:p>
    <w:p w14:paraId="689BEE4B"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11.1</w:t>
      </w:r>
      <w:r>
        <w:rPr>
          <w:rFonts w:ascii="Times New Roman" w:eastAsia="Times New Roman" w:hAnsi="Times New Roman" w:cs="Times New Roman"/>
        </w:rPr>
        <w:t xml:space="preserve">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w:t>
      </w:r>
    </w:p>
    <w:p w14:paraId="4111AF7A" w14:textId="77777777" w:rsidR="006924CB" w:rsidRDefault="006924CB">
      <w:pPr>
        <w:widowControl w:val="0"/>
        <w:spacing w:line="280" w:lineRule="auto"/>
        <w:ind w:right="16"/>
        <w:jc w:val="both"/>
        <w:rPr>
          <w:rFonts w:ascii="Times New Roman" w:eastAsia="Times New Roman" w:hAnsi="Times New Roman" w:cs="Times New Roman"/>
        </w:rPr>
      </w:pPr>
    </w:p>
    <w:p w14:paraId="5E85BB4D"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11.2</w:t>
      </w:r>
      <w:r>
        <w:rPr>
          <w:rFonts w:ascii="Times New Roman" w:eastAsia="Times New Roman" w:hAnsi="Times New Roman" w:cs="Times New Roman"/>
        </w:rPr>
        <w:t xml:space="preserve"> Serão glosados valores relacionados a metas e resultados descumpridos sem justificativa suficiente.</w:t>
      </w:r>
    </w:p>
    <w:p w14:paraId="4B6F6CF6" w14:textId="77777777" w:rsidR="006924CB" w:rsidRDefault="006924CB">
      <w:pPr>
        <w:widowControl w:val="0"/>
        <w:spacing w:line="280" w:lineRule="auto"/>
        <w:ind w:right="16"/>
        <w:jc w:val="both"/>
        <w:rPr>
          <w:rFonts w:ascii="Times New Roman" w:eastAsia="Times New Roman" w:hAnsi="Times New Roman" w:cs="Times New Roman"/>
        </w:rPr>
      </w:pPr>
    </w:p>
    <w:p w14:paraId="0CB3FA1A"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11.3</w:t>
      </w:r>
      <w:r>
        <w:rPr>
          <w:rFonts w:ascii="Times New Roman" w:eastAsia="Times New Roman" w:hAnsi="Times New Roman" w:cs="Times New Roman"/>
        </w:rPr>
        <w:t xml:space="preserve"> Os dados financeiros serão analisados com o intuito de estabelecer o nexo de causalidade entre a </w:t>
      </w:r>
      <w:r>
        <w:rPr>
          <w:rFonts w:ascii="Times New Roman" w:eastAsia="Times New Roman" w:hAnsi="Times New Roman" w:cs="Times New Roman"/>
        </w:rPr>
        <w:lastRenderedPageBreak/>
        <w:t>receita e a despesa realizada, a sua conformidade e o cumprimento das normas pertinentes.</w:t>
      </w:r>
    </w:p>
    <w:p w14:paraId="6F8E7E06" w14:textId="77777777" w:rsidR="006924CB" w:rsidRDefault="006924CB">
      <w:pPr>
        <w:widowControl w:val="0"/>
        <w:spacing w:line="280" w:lineRule="auto"/>
        <w:ind w:right="16"/>
        <w:jc w:val="both"/>
        <w:rPr>
          <w:rFonts w:ascii="Times New Roman" w:eastAsia="Times New Roman" w:hAnsi="Times New Roman" w:cs="Times New Roman"/>
        </w:rPr>
      </w:pPr>
    </w:p>
    <w:p w14:paraId="4885B06E"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11.4 </w:t>
      </w:r>
      <w:r>
        <w:rPr>
          <w:rFonts w:ascii="Times New Roman" w:eastAsia="Times New Roman" w:hAnsi="Times New Roman" w:cs="Times New Roman"/>
        </w:rPr>
        <w:t>A análise da prestação de contas deverá considerar a verdade real e os resultados alcançados, bem como observará regras específicas de acordo com o montante de recursos públicos envolvidos.</w:t>
      </w:r>
    </w:p>
    <w:p w14:paraId="4BCE365D" w14:textId="77777777" w:rsidR="006924CB" w:rsidRDefault="006924CB">
      <w:pPr>
        <w:widowControl w:val="0"/>
        <w:spacing w:line="280" w:lineRule="auto"/>
        <w:ind w:right="16"/>
        <w:jc w:val="both"/>
        <w:rPr>
          <w:rFonts w:ascii="Times New Roman" w:eastAsia="Times New Roman" w:hAnsi="Times New Roman" w:cs="Times New Roman"/>
        </w:rPr>
      </w:pPr>
    </w:p>
    <w:p w14:paraId="410875C9"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11.5 </w:t>
      </w:r>
      <w:r>
        <w:rPr>
          <w:rFonts w:ascii="Times New Roman" w:eastAsia="Times New Roman" w:hAnsi="Times New Roman" w:cs="Times New Roman"/>
        </w:rPr>
        <w:t>Serão aceitos como comprovação imagens que demonstrem a realização do objeto da parceria, especialmente: imagens de produtos adquiridos, folders, imagens de divulgação em mídias eletrônicas, desde que não sejam utilizados como meios isolados.</w:t>
      </w:r>
    </w:p>
    <w:p w14:paraId="7C9B7E5A" w14:textId="77777777" w:rsidR="006924CB" w:rsidRDefault="006924CB">
      <w:pPr>
        <w:widowControl w:val="0"/>
        <w:spacing w:line="280" w:lineRule="auto"/>
        <w:ind w:right="16"/>
        <w:jc w:val="both"/>
        <w:rPr>
          <w:rFonts w:ascii="Times New Roman" w:eastAsia="Times New Roman" w:hAnsi="Times New Roman" w:cs="Times New Roman"/>
        </w:rPr>
      </w:pPr>
    </w:p>
    <w:p w14:paraId="744B36D5"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11.6 </w:t>
      </w:r>
      <w:r>
        <w:rPr>
          <w:rFonts w:ascii="Times New Roman" w:eastAsia="Times New Roman" w:hAnsi="Times New Roman" w:cs="Times New Roman"/>
        </w:rPr>
        <w:t xml:space="preserve">A prestação de contas e todos os atos que dela decorram dar-se-ão em plataforma eletrônica, através do envio da documentação pelo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e também</w:t>
      </w:r>
      <w:proofErr w:type="gramEnd"/>
      <w:r>
        <w:rPr>
          <w:rFonts w:ascii="Times New Roman" w:eastAsia="Times New Roman" w:hAnsi="Times New Roman" w:cs="Times New Roman"/>
        </w:rPr>
        <w:t xml:space="preserve"> de forma física, através do envio de toda a documentação ao órgão da administração pública estadual celebrante.</w:t>
      </w:r>
    </w:p>
    <w:p w14:paraId="04837834" w14:textId="77777777" w:rsidR="006924CB" w:rsidRDefault="006924CB">
      <w:pPr>
        <w:widowControl w:val="0"/>
        <w:spacing w:line="280" w:lineRule="auto"/>
        <w:ind w:right="16"/>
        <w:jc w:val="both"/>
        <w:rPr>
          <w:rFonts w:ascii="Times New Roman" w:eastAsia="Times New Roman" w:hAnsi="Times New Roman" w:cs="Times New Roman"/>
        </w:rPr>
      </w:pPr>
    </w:p>
    <w:p w14:paraId="42A708E1"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DÉCIMA SEGUNDA – DA PRESTAÇÃO DE CONTAS PARCIAL</w:t>
      </w:r>
    </w:p>
    <w:p w14:paraId="1D0C7D1A"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12.1</w:t>
      </w:r>
      <w:r>
        <w:rPr>
          <w:rFonts w:ascii="Times New Roman" w:eastAsia="Times New Roman" w:hAnsi="Times New Roman" w:cs="Times New Roman"/>
        </w:rPr>
        <w:t xml:space="preserve"> A prestação de contas parcial, aquela pertinente a cada uma das parcelas de recursos liberados, será composta da seguinte documentação:</w:t>
      </w:r>
    </w:p>
    <w:p w14:paraId="03280E5D" w14:textId="77777777" w:rsidR="006924CB" w:rsidRDefault="002933D0" w:rsidP="00FE1ADF">
      <w:pPr>
        <w:widowControl w:val="0"/>
        <w:numPr>
          <w:ilvl w:val="0"/>
          <w:numId w:val="1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Demonstrativo de Execução da Receita e Despesa;</w:t>
      </w:r>
    </w:p>
    <w:p w14:paraId="32BBB6F0" w14:textId="77777777" w:rsidR="006924CB" w:rsidRDefault="002933D0" w:rsidP="00FE1ADF">
      <w:pPr>
        <w:widowControl w:val="0"/>
        <w:numPr>
          <w:ilvl w:val="0"/>
          <w:numId w:val="1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Execução Física;</w:t>
      </w:r>
    </w:p>
    <w:p w14:paraId="6665F505" w14:textId="77777777" w:rsidR="006924CB" w:rsidRDefault="002933D0" w:rsidP="00FE1ADF">
      <w:pPr>
        <w:widowControl w:val="0"/>
        <w:numPr>
          <w:ilvl w:val="0"/>
          <w:numId w:val="1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Execução Financeira;</w:t>
      </w:r>
    </w:p>
    <w:p w14:paraId="7075BDDE" w14:textId="77777777" w:rsidR="006924CB" w:rsidRDefault="002933D0" w:rsidP="00FE1ADF">
      <w:pPr>
        <w:widowControl w:val="0"/>
        <w:numPr>
          <w:ilvl w:val="0"/>
          <w:numId w:val="1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Relação dos Pagamentos Efetuados;</w:t>
      </w:r>
    </w:p>
    <w:p w14:paraId="7001F3EB" w14:textId="77777777" w:rsidR="006924CB" w:rsidRDefault="002933D0" w:rsidP="00FE1ADF">
      <w:pPr>
        <w:widowControl w:val="0"/>
        <w:numPr>
          <w:ilvl w:val="0"/>
          <w:numId w:val="1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das notas fiscais, cupons fiscais e/ou recibos, com a indicação do número da parceria, comprovação de quitação e atestado de recebimento dos serviços ou produtos;</w:t>
      </w:r>
    </w:p>
    <w:p w14:paraId="15F76B65" w14:textId="77777777" w:rsidR="006924CB" w:rsidRDefault="002933D0" w:rsidP="00FE1ADF">
      <w:pPr>
        <w:widowControl w:val="0"/>
        <w:numPr>
          <w:ilvl w:val="0"/>
          <w:numId w:val="1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dos comprovantes de transferência eletrônica;</w:t>
      </w:r>
    </w:p>
    <w:p w14:paraId="4FDFC042" w14:textId="77777777" w:rsidR="006924CB" w:rsidRDefault="002933D0" w:rsidP="00FE1ADF">
      <w:pPr>
        <w:widowControl w:val="0"/>
        <w:numPr>
          <w:ilvl w:val="0"/>
          <w:numId w:val="1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Extrato da conta bancária que demonstre a execução realizada no período;</w:t>
      </w:r>
    </w:p>
    <w:p w14:paraId="55DF7127" w14:textId="77777777" w:rsidR="006924CB" w:rsidRDefault="002933D0" w:rsidP="00FE1ADF">
      <w:pPr>
        <w:widowControl w:val="0"/>
        <w:numPr>
          <w:ilvl w:val="0"/>
          <w:numId w:val="1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Técnico de Execução das etapas devidamente cumpridas da obra ou serviço de engenharia, quando for o caso;</w:t>
      </w:r>
    </w:p>
    <w:p w14:paraId="7804C273" w14:textId="77777777" w:rsidR="006924CB" w:rsidRDefault="002933D0" w:rsidP="00FE1ADF">
      <w:pPr>
        <w:widowControl w:val="0"/>
        <w:numPr>
          <w:ilvl w:val="0"/>
          <w:numId w:val="14"/>
        </w:numPr>
        <w:spacing w:line="360" w:lineRule="auto"/>
        <w:ind w:right="16"/>
        <w:jc w:val="both"/>
        <w:rPr>
          <w:rFonts w:ascii="Times New Roman" w:eastAsia="Times New Roman" w:hAnsi="Times New Roman" w:cs="Times New Roman"/>
        </w:rPr>
      </w:pPr>
      <w:r>
        <w:rPr>
          <w:rFonts w:ascii="Times New Roman" w:eastAsia="Times New Roman" w:hAnsi="Times New Roman" w:cs="Times New Roman"/>
        </w:rPr>
        <w:t>Cópia das Cotações de Preços;</w:t>
      </w:r>
    </w:p>
    <w:p w14:paraId="69A4BB72" w14:textId="77777777" w:rsidR="006924CB" w:rsidRDefault="002933D0" w:rsidP="00FE1ADF">
      <w:pPr>
        <w:widowControl w:val="0"/>
        <w:numPr>
          <w:ilvl w:val="0"/>
          <w:numId w:val="14"/>
        </w:numPr>
        <w:spacing w:line="360" w:lineRule="auto"/>
        <w:ind w:right="16"/>
        <w:jc w:val="both"/>
        <w:rPr>
          <w:rFonts w:ascii="Times New Roman" w:eastAsia="Times New Roman" w:hAnsi="Times New Roman" w:cs="Times New Roman"/>
        </w:rPr>
      </w:pPr>
      <w:r>
        <w:rPr>
          <w:rFonts w:ascii="Times New Roman" w:eastAsia="Times New Roman" w:hAnsi="Times New Roman" w:cs="Times New Roman"/>
        </w:rPr>
        <w:t>Cópia do boletim de medição, quando for o caso.</w:t>
      </w:r>
    </w:p>
    <w:p w14:paraId="6FB80669" w14:textId="77777777" w:rsidR="006924CB" w:rsidRDefault="006924CB">
      <w:pPr>
        <w:widowControl w:val="0"/>
        <w:spacing w:line="360" w:lineRule="auto"/>
        <w:ind w:left="720" w:right="16"/>
        <w:jc w:val="both"/>
        <w:rPr>
          <w:rFonts w:ascii="Times New Roman" w:eastAsia="Times New Roman" w:hAnsi="Times New Roman" w:cs="Times New Roman"/>
        </w:rPr>
      </w:pPr>
    </w:p>
    <w:p w14:paraId="01DAEFF8"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12.2 </w:t>
      </w:r>
      <w:r>
        <w:rPr>
          <w:rFonts w:ascii="Times New Roman" w:eastAsia="Times New Roman" w:hAnsi="Times New Roman" w:cs="Times New Roman"/>
        </w:rPr>
        <w:t>Para as parcerias que tratam de obras e serviços de engenharia, a aprovação da prestação de contas parcial também estará condicionada à análise pela área técnica dos boletins de medição das etapas da obra ou do serviço devidamente cumpridos mensalmente, bem como do relatório técnico de execução, que na ocasião, após vistoria in loco, será emitido o relatório técnico de monitoramento e avaliação pelo fiscal da parceria, previsto no artigo 51 Instrução Normativa Conjunta SEPLAN/SEFAZ/CGE nº 001/2016.</w:t>
      </w:r>
    </w:p>
    <w:p w14:paraId="4734C074" w14:textId="77777777" w:rsidR="006924CB" w:rsidRDefault="006924CB">
      <w:pPr>
        <w:widowControl w:val="0"/>
        <w:spacing w:line="280" w:lineRule="auto"/>
        <w:ind w:right="16"/>
        <w:jc w:val="both"/>
        <w:rPr>
          <w:rFonts w:ascii="Times New Roman" w:eastAsia="Times New Roman" w:hAnsi="Times New Roman" w:cs="Times New Roman"/>
        </w:rPr>
      </w:pPr>
    </w:p>
    <w:p w14:paraId="4DC8074C"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12.3 </w:t>
      </w:r>
      <w:r>
        <w:rPr>
          <w:rFonts w:ascii="Times New Roman" w:eastAsia="Times New Roman" w:hAnsi="Times New Roman" w:cs="Times New Roman"/>
        </w:rPr>
        <w:t>Constatada irregularidade da prestação de contas parcial, o ordenador de despesa suspenderá imediatamente a liberação das parcelas seguintes e notificará a Organização da Sociedade Civil, dando-lhe o prazo de trinta dias para sanar a irregularidade e/ou cumprir a obrigação.</w:t>
      </w:r>
    </w:p>
    <w:p w14:paraId="0DCCC155" w14:textId="77777777" w:rsidR="006924CB" w:rsidRDefault="006924CB">
      <w:pPr>
        <w:widowControl w:val="0"/>
        <w:spacing w:line="280" w:lineRule="auto"/>
        <w:ind w:right="16"/>
        <w:jc w:val="both"/>
        <w:rPr>
          <w:rFonts w:ascii="Times New Roman" w:eastAsia="Times New Roman" w:hAnsi="Times New Roman" w:cs="Times New Roman"/>
        </w:rPr>
      </w:pPr>
    </w:p>
    <w:p w14:paraId="0321A1BD"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12.4</w:t>
      </w:r>
      <w:r>
        <w:rPr>
          <w:rFonts w:ascii="Times New Roman" w:eastAsia="Times New Roman" w:hAnsi="Times New Roman" w:cs="Times New Roman"/>
        </w:rPr>
        <w:t xml:space="preserve"> Decorrido o prazo da notificação, sem que a irregularidade tenha sido sanada ou adimplida a obrigação, o ordenador de despesa do Concedente deverá determinar o registro do fato no Sistema de Gerenciamento de Convênios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 xml:space="preserve">), e a abertura da Tomada de Contas Especial e demais medidas </w:t>
      </w:r>
      <w:r>
        <w:rPr>
          <w:rFonts w:ascii="Times New Roman" w:eastAsia="Times New Roman" w:hAnsi="Times New Roman" w:cs="Times New Roman"/>
        </w:rPr>
        <w:lastRenderedPageBreak/>
        <w:t>de sua competência, sob pena de responsabilidade.</w:t>
      </w:r>
    </w:p>
    <w:p w14:paraId="3C468A8E" w14:textId="77777777" w:rsidR="006924CB" w:rsidRDefault="006924CB">
      <w:pPr>
        <w:widowControl w:val="0"/>
        <w:spacing w:line="280" w:lineRule="auto"/>
        <w:ind w:right="16"/>
        <w:jc w:val="both"/>
        <w:rPr>
          <w:rFonts w:ascii="Times New Roman" w:eastAsia="Times New Roman" w:hAnsi="Times New Roman" w:cs="Times New Roman"/>
        </w:rPr>
      </w:pPr>
    </w:p>
    <w:p w14:paraId="793E3A95"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12.5</w:t>
      </w:r>
      <w:r>
        <w:rPr>
          <w:rFonts w:ascii="Times New Roman" w:eastAsia="Times New Roman" w:hAnsi="Times New Roman" w:cs="Times New Roman"/>
        </w:rPr>
        <w:t xml:space="preserve"> A não apresentação da prestação de contas parcial ou sua não aprovação ensejará o bloqueio das parcelas subsequentes da parceria e impedirá a celebração de novas parcerias com o Estado.</w:t>
      </w:r>
    </w:p>
    <w:p w14:paraId="635A6488" w14:textId="77777777" w:rsidR="006924CB" w:rsidRDefault="006924CB">
      <w:pPr>
        <w:widowControl w:val="0"/>
        <w:spacing w:line="280" w:lineRule="auto"/>
        <w:ind w:right="16"/>
        <w:jc w:val="both"/>
        <w:rPr>
          <w:rFonts w:ascii="Times New Roman" w:eastAsia="Times New Roman" w:hAnsi="Times New Roman" w:cs="Times New Roman"/>
        </w:rPr>
      </w:pPr>
    </w:p>
    <w:p w14:paraId="1DCF9FBB"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12.6</w:t>
      </w:r>
      <w:r>
        <w:rPr>
          <w:rFonts w:ascii="Times New Roman" w:eastAsia="Times New Roman" w:hAnsi="Times New Roman" w:cs="Times New Roman"/>
        </w:rPr>
        <w:t xml:space="preserve"> No caso de não apresentação da prestação de contas parcial dos recursos recebidos, nos prazos estipulados pela Instrução Normativa Conjunta SEPLAN/SEFAZ/CGE nº 001/2016 ou pela administração pública estadual, a Organização da Sociedade Civil será inscrita como inadimplente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 xml:space="preserve"> manualmente pelo órgão e a seu critério.</w:t>
      </w:r>
    </w:p>
    <w:p w14:paraId="412F991B" w14:textId="77777777" w:rsidR="006924CB" w:rsidRDefault="006924CB">
      <w:pPr>
        <w:widowControl w:val="0"/>
        <w:spacing w:line="280" w:lineRule="auto"/>
        <w:ind w:right="16"/>
        <w:jc w:val="both"/>
        <w:rPr>
          <w:rFonts w:ascii="Times New Roman" w:eastAsia="Times New Roman" w:hAnsi="Times New Roman" w:cs="Times New Roman"/>
        </w:rPr>
      </w:pPr>
    </w:p>
    <w:p w14:paraId="5A118849"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12.7 </w:t>
      </w:r>
      <w:r>
        <w:rPr>
          <w:rFonts w:ascii="Times New Roman" w:eastAsia="Times New Roman" w:hAnsi="Times New Roman" w:cs="Times New Roman"/>
        </w:rPr>
        <w:t>No caso de parcerias que ultrapassam um ano de duração, deverá ser apresentada prestação de contas pela OSC de cada exercício financeiro, nos termos do art. 49 da Lei 13.019/2014, a qual conterá os documentos indicados na subcláusula 12.1.</w:t>
      </w:r>
    </w:p>
    <w:p w14:paraId="6DA62C70" w14:textId="77777777" w:rsidR="006924CB" w:rsidRDefault="006924CB">
      <w:pPr>
        <w:widowControl w:val="0"/>
        <w:spacing w:line="360" w:lineRule="auto"/>
        <w:ind w:right="16"/>
        <w:jc w:val="both"/>
        <w:rPr>
          <w:rFonts w:ascii="Times New Roman" w:eastAsia="Times New Roman" w:hAnsi="Times New Roman" w:cs="Times New Roman"/>
        </w:rPr>
      </w:pPr>
    </w:p>
    <w:p w14:paraId="1B03AF50"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 xml:space="preserve">CLÁUSULA DÉCIMA TERCEIRA – DA PRESTAÇÃO DE CONTAS FINAL </w:t>
      </w:r>
    </w:p>
    <w:p w14:paraId="776955D1"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13.1</w:t>
      </w:r>
      <w:r>
        <w:rPr>
          <w:rFonts w:ascii="Times New Roman" w:eastAsia="Times New Roman" w:hAnsi="Times New Roman" w:cs="Times New Roman"/>
        </w:rPr>
        <w:t xml:space="preserve"> A prestação de contas final é a demonstração consolidada da execução física e financeira da parceria, para se aferir se o objeto pactuado foi efetivamente cumprido pela organização da sociedade civil, nos termos dos artigos 63 e seguintes da Lei 13019/2014:</w:t>
      </w:r>
    </w:p>
    <w:p w14:paraId="1F0E3740" w14:textId="77777777" w:rsidR="006924CB" w:rsidRDefault="006924CB">
      <w:pPr>
        <w:widowControl w:val="0"/>
        <w:spacing w:line="280" w:lineRule="auto"/>
        <w:ind w:right="16"/>
        <w:jc w:val="both"/>
        <w:rPr>
          <w:rFonts w:ascii="Times New Roman" w:eastAsia="Times New Roman" w:hAnsi="Times New Roman" w:cs="Times New Roman"/>
        </w:rPr>
      </w:pPr>
    </w:p>
    <w:p w14:paraId="7F6A63B2" w14:textId="77777777" w:rsidR="006924CB" w:rsidRDefault="002933D0">
      <w:pPr>
        <w:widowControl w:val="0"/>
        <w:spacing w:line="280" w:lineRule="auto"/>
        <w:ind w:left="709" w:right="16"/>
        <w:jc w:val="both"/>
        <w:rPr>
          <w:rFonts w:ascii="Times New Roman" w:eastAsia="Times New Roman" w:hAnsi="Times New Roman" w:cs="Times New Roman"/>
        </w:rPr>
      </w:pPr>
      <w:r>
        <w:rPr>
          <w:rFonts w:ascii="Times New Roman" w:eastAsia="Times New Roman" w:hAnsi="Times New Roman" w:cs="Times New Roman"/>
          <w:b/>
        </w:rPr>
        <w:t xml:space="preserve">13.1.1 </w:t>
      </w:r>
      <w:r>
        <w:rPr>
          <w:rFonts w:ascii="Times New Roman" w:eastAsia="Times New Roman" w:hAnsi="Times New Roman" w:cs="Times New Roman"/>
        </w:rPr>
        <w:t>Quando os recursos forem liberados em parcela única, não haverá prestação de contas parcial e a prestação de contas final será composta dos seguintes documentos:</w:t>
      </w:r>
    </w:p>
    <w:p w14:paraId="2F7F8E83"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Demonstrativo de Execução da Receita e Despesa;</w:t>
      </w:r>
    </w:p>
    <w:p w14:paraId="4B8B1254"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Cumprimento do Objeto;</w:t>
      </w:r>
    </w:p>
    <w:p w14:paraId="314AF915"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Execução Física;</w:t>
      </w:r>
    </w:p>
    <w:p w14:paraId="244268EE"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Execução Financeira;</w:t>
      </w:r>
    </w:p>
    <w:p w14:paraId="22C0452F"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Relação dos Pagamentos Efetuados;</w:t>
      </w:r>
    </w:p>
    <w:p w14:paraId="452AE3EE"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Conciliação Bancária, quando for o caso;</w:t>
      </w:r>
    </w:p>
    <w:p w14:paraId="197702B8"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Relação de Bens Adquiridos, referente aos equipamentos e materiais permanentes adquiridos com recursos da parceria, quando for o caso;</w:t>
      </w:r>
    </w:p>
    <w:p w14:paraId="05B01DD8"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Termo de Devolução de Bens Adquiridos, quando for o caso;</w:t>
      </w:r>
    </w:p>
    <w:p w14:paraId="5075A881"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Declaração de Incorporação de Bens Adquiridos, acompanhada da respectiva cópia da nota fiscal e ficha de tombamento, quando for o caso;</w:t>
      </w:r>
    </w:p>
    <w:p w14:paraId="4CCE502D"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das notas fiscais e/ou recibos, com a indicação do número da parceria;</w:t>
      </w:r>
    </w:p>
    <w:p w14:paraId="21E6BD18"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dos comprovantes de transferências eletrônicas;</w:t>
      </w:r>
    </w:p>
    <w:p w14:paraId="2BF10707"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Extrato da conta bancária específica de todo o período de execução do convênio, da liberação da 1ª parcela à devolução do saldo;</w:t>
      </w:r>
    </w:p>
    <w:p w14:paraId="58A7720E"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do termo de aceitação definitiva da obra, quando for o caso, ou termo de aceitação provisório da obra se o termo definitivo ainda não tiver sido emitido;</w:t>
      </w:r>
    </w:p>
    <w:p w14:paraId="2ACF6D1C"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Comprovante de recolhimento do saldo de recursos à conta indicada pela administração pública estadual;</w:t>
      </w:r>
    </w:p>
    <w:p w14:paraId="7299A5D5"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das Cotações de Preços;</w:t>
      </w:r>
    </w:p>
    <w:p w14:paraId="0B7BD458" w14:textId="77777777" w:rsidR="006924CB" w:rsidRDefault="002933D0" w:rsidP="00FE1ADF">
      <w:pPr>
        <w:widowControl w:val="0"/>
        <w:numPr>
          <w:ilvl w:val="0"/>
          <w:numId w:val="10"/>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do boletim de medição, quando for o caso.</w:t>
      </w:r>
    </w:p>
    <w:p w14:paraId="288DE01A" w14:textId="77777777" w:rsidR="006924CB" w:rsidRDefault="006924CB">
      <w:pPr>
        <w:widowControl w:val="0"/>
        <w:spacing w:line="280" w:lineRule="auto"/>
        <w:ind w:left="2160" w:right="16"/>
        <w:jc w:val="both"/>
        <w:rPr>
          <w:rFonts w:ascii="Times New Roman" w:eastAsia="Times New Roman" w:hAnsi="Times New Roman" w:cs="Times New Roman"/>
        </w:rPr>
      </w:pPr>
    </w:p>
    <w:p w14:paraId="65DB1EC2" w14:textId="77777777" w:rsidR="006924CB" w:rsidRDefault="002933D0">
      <w:pPr>
        <w:widowControl w:val="0"/>
        <w:spacing w:line="280" w:lineRule="auto"/>
        <w:ind w:left="990" w:right="16"/>
        <w:jc w:val="both"/>
        <w:rPr>
          <w:rFonts w:ascii="Times New Roman" w:eastAsia="Times New Roman" w:hAnsi="Times New Roman" w:cs="Times New Roman"/>
        </w:rPr>
      </w:pPr>
      <w:r>
        <w:rPr>
          <w:rFonts w:ascii="Times New Roman" w:eastAsia="Times New Roman" w:hAnsi="Times New Roman" w:cs="Times New Roman"/>
          <w:b/>
        </w:rPr>
        <w:lastRenderedPageBreak/>
        <w:t xml:space="preserve">13.1.2 </w:t>
      </w:r>
      <w:r>
        <w:rPr>
          <w:rFonts w:ascii="Times New Roman" w:eastAsia="Times New Roman" w:hAnsi="Times New Roman" w:cs="Times New Roman"/>
        </w:rPr>
        <w:t>Quando os recursos forem liberados em duas ou mais parcelas, e considerando que os documentos comprobatórios das despesas já foram encaminhados nas respectivas prestações de contas parciais, a prestação de contas final será composta dos relatórios consolidados de todo o período e demais documentos, conforme abaixo:</w:t>
      </w:r>
    </w:p>
    <w:p w14:paraId="2237E619"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Demonstrativo de Execução da Receita e Despesa;</w:t>
      </w:r>
    </w:p>
    <w:p w14:paraId="55831CF4"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Cumprimento do Objeto;</w:t>
      </w:r>
    </w:p>
    <w:p w14:paraId="21FAAE9C"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Execução Física;</w:t>
      </w:r>
    </w:p>
    <w:p w14:paraId="290954B7"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Execução Financeira;</w:t>
      </w:r>
    </w:p>
    <w:p w14:paraId="6603B33D"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Relação dos Pagamentos Efetuados;</w:t>
      </w:r>
    </w:p>
    <w:p w14:paraId="3700254B"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Conciliação Bancária, quando for o caso;</w:t>
      </w:r>
    </w:p>
    <w:p w14:paraId="1BA38AEF"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Relação de Bens Adquiridos, referente aos equipamentos e materiais permanentes adquiridos com recursos da parceria, quando for o caso;</w:t>
      </w:r>
    </w:p>
    <w:p w14:paraId="6C15C0BF"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Termo de Devolução de Bens Adquiridos, quando for o caso;</w:t>
      </w:r>
    </w:p>
    <w:p w14:paraId="19905BFF"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Declaração de Incorporação de Bens Adquiridos, acompanhada da respectiva cópia da nota fiscal e ficha de tombamento;</w:t>
      </w:r>
    </w:p>
    <w:p w14:paraId="5225FBCF"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Extrato da conta bancária específica referente a todo o período de execução da parceria;</w:t>
      </w:r>
    </w:p>
    <w:p w14:paraId="163A1A8E"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do termo de aceitação definitiva da obra, se for o caso, ou termo de aceitação provisório da obra se o termo definitivo ainda não tiver sido emitido;</w:t>
      </w:r>
    </w:p>
    <w:p w14:paraId="4E1971B5"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Técnico de Execução das etapas devidamente cumpridas da obra ou serviço de engenharia, quando for o caso;</w:t>
      </w:r>
    </w:p>
    <w:p w14:paraId="412C0877"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Comprovante de recolhimento do saldo de recursos à conta indicada pela administração pública estadual;</w:t>
      </w:r>
    </w:p>
    <w:p w14:paraId="514DA3A8" w14:textId="77777777" w:rsidR="006924CB" w:rsidRDefault="002933D0" w:rsidP="00FE1ADF">
      <w:pPr>
        <w:widowControl w:val="0"/>
        <w:numPr>
          <w:ilvl w:val="0"/>
          <w:numId w:val="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Cópia do boletim de medição, quando for o caso.</w:t>
      </w:r>
    </w:p>
    <w:p w14:paraId="2A8C497C" w14:textId="77777777" w:rsidR="006924CB" w:rsidRDefault="006924CB">
      <w:pPr>
        <w:widowControl w:val="0"/>
        <w:spacing w:line="280" w:lineRule="auto"/>
        <w:ind w:left="709" w:right="16"/>
        <w:jc w:val="both"/>
        <w:rPr>
          <w:rFonts w:ascii="Times New Roman" w:eastAsia="Times New Roman" w:hAnsi="Times New Roman" w:cs="Times New Roman"/>
        </w:rPr>
      </w:pPr>
    </w:p>
    <w:p w14:paraId="62EBF1A3" w14:textId="77777777" w:rsidR="006924CB" w:rsidRDefault="002933D0">
      <w:pPr>
        <w:widowControl w:val="0"/>
        <w:spacing w:line="280" w:lineRule="auto"/>
        <w:ind w:left="850" w:right="16"/>
        <w:jc w:val="both"/>
        <w:rPr>
          <w:rFonts w:ascii="Times New Roman" w:eastAsia="Times New Roman" w:hAnsi="Times New Roman" w:cs="Times New Roman"/>
        </w:rPr>
      </w:pPr>
      <w:r>
        <w:rPr>
          <w:rFonts w:ascii="Times New Roman" w:eastAsia="Times New Roman" w:hAnsi="Times New Roman" w:cs="Times New Roman"/>
          <w:b/>
        </w:rPr>
        <w:t xml:space="preserve">13.1.3 </w:t>
      </w:r>
      <w:r>
        <w:rPr>
          <w:rFonts w:ascii="Times New Roman" w:eastAsia="Times New Roman" w:hAnsi="Times New Roman" w:cs="Times New Roman"/>
        </w:rPr>
        <w:t>Além da documentação constante nas cláusulas 13.1.1 e 13.1.2 deste artigo, a prestação de contas dar-se-á mediante a análise dos seguintes relatórios:</w:t>
      </w:r>
    </w:p>
    <w:p w14:paraId="10A1E105" w14:textId="77777777" w:rsidR="006924CB" w:rsidRDefault="006924CB">
      <w:pPr>
        <w:widowControl w:val="0"/>
        <w:spacing w:line="280" w:lineRule="auto"/>
        <w:ind w:right="16"/>
        <w:jc w:val="both"/>
        <w:rPr>
          <w:rFonts w:ascii="Times New Roman" w:eastAsia="Times New Roman" w:hAnsi="Times New Roman" w:cs="Times New Roman"/>
        </w:rPr>
      </w:pPr>
    </w:p>
    <w:p w14:paraId="2D423863" w14:textId="77777777" w:rsidR="006924CB" w:rsidRDefault="002933D0" w:rsidP="00FE1ADF">
      <w:pPr>
        <w:widowControl w:val="0"/>
        <w:numPr>
          <w:ilvl w:val="0"/>
          <w:numId w:val="22"/>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execução do objeto, elaborado pela organização da sociedade civil, contendo as atividades ou projetos desenvolvidos para o cumprimento do objeto e o comparativo de metas propostas com os resultados alcançados;</w:t>
      </w:r>
    </w:p>
    <w:p w14:paraId="6079F0F3" w14:textId="77777777" w:rsidR="006924CB" w:rsidRDefault="002933D0" w:rsidP="00FE1ADF">
      <w:pPr>
        <w:widowControl w:val="0"/>
        <w:numPr>
          <w:ilvl w:val="0"/>
          <w:numId w:val="22"/>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411D82F4" w14:textId="77777777" w:rsidR="006924CB" w:rsidRDefault="002933D0" w:rsidP="00FE1ADF">
      <w:pPr>
        <w:widowControl w:val="0"/>
        <w:numPr>
          <w:ilvl w:val="0"/>
          <w:numId w:val="22"/>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de visita técnica in loco eventualmente realizada durante a execução da parceria, quando houver;</w:t>
      </w:r>
    </w:p>
    <w:p w14:paraId="24359AF7" w14:textId="77777777" w:rsidR="006924CB" w:rsidRDefault="002933D0" w:rsidP="00FE1ADF">
      <w:pPr>
        <w:widowControl w:val="0"/>
        <w:numPr>
          <w:ilvl w:val="0"/>
          <w:numId w:val="22"/>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relatório técnico de monitoramento e avaliação, homologado pela comissão de monitoramento e avaliação designada, sobre a conformidade do cumprimento do objeto e os resultados alcançados durante a execução do termo de colaboração ou de fomento, quando houver.</w:t>
      </w:r>
    </w:p>
    <w:p w14:paraId="3786C4C8" w14:textId="77777777" w:rsidR="006924CB" w:rsidRDefault="006924CB">
      <w:pPr>
        <w:widowControl w:val="0"/>
        <w:spacing w:line="280" w:lineRule="auto"/>
        <w:ind w:right="16"/>
        <w:jc w:val="both"/>
        <w:rPr>
          <w:rFonts w:ascii="Times New Roman" w:eastAsia="Times New Roman" w:hAnsi="Times New Roman" w:cs="Times New Roman"/>
        </w:rPr>
      </w:pPr>
    </w:p>
    <w:p w14:paraId="4837F855"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13.2</w:t>
      </w:r>
      <w:r>
        <w:rPr>
          <w:rFonts w:ascii="Times New Roman" w:eastAsia="Times New Roman" w:hAnsi="Times New Roman" w:cs="Times New Roman"/>
        </w:rPr>
        <w:t xml:space="preserve"> O Concedente (ou Proponente no caso de Termo de Colaboração) deverá registrar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 xml:space="preserve"> o </w:t>
      </w:r>
      <w:r>
        <w:rPr>
          <w:rFonts w:ascii="Times New Roman" w:eastAsia="Times New Roman" w:hAnsi="Times New Roman" w:cs="Times New Roman"/>
        </w:rPr>
        <w:lastRenderedPageBreak/>
        <w:t>recebimento da prestação de contas.</w:t>
      </w:r>
    </w:p>
    <w:p w14:paraId="263EC041" w14:textId="77777777" w:rsidR="006924CB" w:rsidRDefault="006924CB">
      <w:pPr>
        <w:widowControl w:val="0"/>
        <w:spacing w:line="280" w:lineRule="auto"/>
        <w:ind w:right="16"/>
        <w:jc w:val="both"/>
        <w:rPr>
          <w:rFonts w:ascii="Times New Roman" w:eastAsia="Times New Roman" w:hAnsi="Times New Roman" w:cs="Times New Roman"/>
        </w:rPr>
      </w:pPr>
    </w:p>
    <w:p w14:paraId="50623C41"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13.3</w:t>
      </w:r>
      <w:r>
        <w:rPr>
          <w:rFonts w:ascii="Times New Roman" w:eastAsia="Times New Roman" w:hAnsi="Times New Roman" w:cs="Times New Roman"/>
        </w:rPr>
        <w:t xml:space="preserve"> O gestor emitirá parecer técnico financeiro de análise de prestação de contas da parceria celebrada.</w:t>
      </w:r>
    </w:p>
    <w:p w14:paraId="63AE5DC2" w14:textId="77777777" w:rsidR="006924CB" w:rsidRDefault="006924CB">
      <w:pPr>
        <w:widowControl w:val="0"/>
        <w:spacing w:line="280" w:lineRule="auto"/>
        <w:ind w:right="16"/>
        <w:jc w:val="both"/>
        <w:rPr>
          <w:rFonts w:ascii="Times New Roman" w:eastAsia="Times New Roman" w:hAnsi="Times New Roman" w:cs="Times New Roman"/>
        </w:rPr>
      </w:pPr>
    </w:p>
    <w:p w14:paraId="334FB4A4"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13.4</w:t>
      </w:r>
      <w:r>
        <w:rPr>
          <w:rFonts w:ascii="Times New Roman" w:eastAsia="Times New Roman" w:hAnsi="Times New Roman" w:cs="Times New Roman"/>
        </w:rPr>
        <w:t xml:space="preserve"> No caso de prestação de contas única, o gestor emitirá parecer técnico conclusivo para fins de avaliação do cumprimento do objeto.</w:t>
      </w:r>
    </w:p>
    <w:p w14:paraId="13D1D744" w14:textId="77777777" w:rsidR="006924CB" w:rsidRDefault="006924CB">
      <w:pPr>
        <w:widowControl w:val="0"/>
        <w:spacing w:line="280" w:lineRule="auto"/>
        <w:ind w:right="16"/>
        <w:jc w:val="both"/>
        <w:rPr>
          <w:rFonts w:ascii="Times New Roman" w:eastAsia="Times New Roman" w:hAnsi="Times New Roman" w:cs="Times New Roman"/>
        </w:rPr>
      </w:pPr>
    </w:p>
    <w:p w14:paraId="743BFD74"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13.5</w:t>
      </w:r>
      <w:r>
        <w:rPr>
          <w:rFonts w:ascii="Times New Roman" w:eastAsia="Times New Roman" w:hAnsi="Times New Roman" w:cs="Times New Roman"/>
        </w:rPr>
        <w:t xml:space="preserve"> Se a duração da parceria exceder um ano, a organização da sociedade civil deverá apresentar prestação de contas ao fim de cada exercício, para fins de monitoramento do cumprimento das metas do objeto.</w:t>
      </w:r>
    </w:p>
    <w:p w14:paraId="3C773C5C" w14:textId="77777777" w:rsidR="006924CB" w:rsidRDefault="006924CB">
      <w:pPr>
        <w:widowControl w:val="0"/>
        <w:spacing w:line="280" w:lineRule="auto"/>
        <w:ind w:right="16"/>
        <w:jc w:val="both"/>
        <w:rPr>
          <w:rFonts w:ascii="Times New Roman" w:eastAsia="Times New Roman" w:hAnsi="Times New Roman" w:cs="Times New Roman"/>
        </w:rPr>
      </w:pPr>
    </w:p>
    <w:p w14:paraId="45535A95"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13.6</w:t>
      </w:r>
      <w:r>
        <w:rPr>
          <w:rFonts w:ascii="Times New Roman" w:eastAsia="Times New Roman" w:hAnsi="Times New Roman" w:cs="Times New Roman"/>
        </w:rPr>
        <w:t xml:space="preserve"> Para fins de avaliação quanto à eficácia e efetividade das ações em execução ou que já foram realizadas, os pareceres técnicos de que trata este artigo deverão, obrigatoriamente, mencionar:</w:t>
      </w:r>
    </w:p>
    <w:p w14:paraId="29C6D2B5" w14:textId="77777777" w:rsidR="006924CB" w:rsidRDefault="002933D0" w:rsidP="00FE1ADF">
      <w:pPr>
        <w:widowControl w:val="0"/>
        <w:numPr>
          <w:ilvl w:val="0"/>
          <w:numId w:val="17"/>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os resultados já alcançados e seus benefícios;</w:t>
      </w:r>
    </w:p>
    <w:p w14:paraId="4B8E35A8" w14:textId="77777777" w:rsidR="006924CB" w:rsidRDefault="002933D0" w:rsidP="00FE1ADF">
      <w:pPr>
        <w:widowControl w:val="0"/>
        <w:numPr>
          <w:ilvl w:val="0"/>
          <w:numId w:val="17"/>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os impactos econômicos ou sociais;</w:t>
      </w:r>
    </w:p>
    <w:p w14:paraId="29AD47F2" w14:textId="77777777" w:rsidR="006924CB" w:rsidRDefault="002933D0" w:rsidP="00FE1ADF">
      <w:pPr>
        <w:widowControl w:val="0"/>
        <w:numPr>
          <w:ilvl w:val="0"/>
          <w:numId w:val="17"/>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o grau de satisfação do público-alvo;</w:t>
      </w:r>
    </w:p>
    <w:p w14:paraId="77ADE78D" w14:textId="77777777" w:rsidR="006924CB" w:rsidRDefault="002933D0" w:rsidP="00FE1ADF">
      <w:pPr>
        <w:widowControl w:val="0"/>
        <w:numPr>
          <w:ilvl w:val="0"/>
          <w:numId w:val="17"/>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 possibilidade de sustentabilidade das ações após a conclusão do objeto pactuado.</w:t>
      </w:r>
    </w:p>
    <w:p w14:paraId="659907DA" w14:textId="77777777" w:rsidR="006924CB" w:rsidRDefault="006924CB">
      <w:pPr>
        <w:widowControl w:val="0"/>
        <w:spacing w:line="280" w:lineRule="auto"/>
        <w:ind w:right="16"/>
        <w:jc w:val="both"/>
        <w:rPr>
          <w:rFonts w:ascii="Times New Roman" w:eastAsia="Times New Roman" w:hAnsi="Times New Roman" w:cs="Times New Roman"/>
        </w:rPr>
      </w:pPr>
    </w:p>
    <w:p w14:paraId="3ACF2B4F"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13.7</w:t>
      </w:r>
      <w:r>
        <w:rPr>
          <w:rFonts w:ascii="Times New Roman" w:eastAsia="Times New Roman" w:hAnsi="Times New Roman" w:cs="Times New Roman"/>
        </w:rPr>
        <w:t xml:space="preserve"> Durante o prazo de dez anos, contado do dia útil subsequente ao da prestação de contas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 a Organização da Sociedade Civil deve manter em seu arquivo os documentos originais que compõem a prestação de contas.</w:t>
      </w:r>
    </w:p>
    <w:p w14:paraId="38BD4BDE" w14:textId="77777777" w:rsidR="006924CB" w:rsidRDefault="006924CB">
      <w:pPr>
        <w:widowControl w:val="0"/>
        <w:spacing w:line="280" w:lineRule="auto"/>
        <w:ind w:left="2138" w:right="16"/>
        <w:jc w:val="both"/>
        <w:rPr>
          <w:rFonts w:ascii="Times New Roman" w:eastAsia="Times New Roman" w:hAnsi="Times New Roman" w:cs="Times New Roman"/>
        </w:rPr>
      </w:pPr>
    </w:p>
    <w:p w14:paraId="51145924"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 xml:space="preserve">CLÁUSULA DÉCIMA QUARTA – DOS PRAZOS </w:t>
      </w:r>
    </w:p>
    <w:p w14:paraId="14AC9D96"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14.1</w:t>
      </w:r>
      <w:r>
        <w:rPr>
          <w:rFonts w:ascii="Times New Roman" w:eastAsia="Times New Roman" w:hAnsi="Times New Roman" w:cs="Times New Roman"/>
        </w:rPr>
        <w:t xml:space="preserve"> A Proponente prestará contas da boa e regular aplicação dos recursos recebidos no prazo de até noventa dias a partir do término da vigência da parceria ou no final de cada exercício, se a duração da parceria exceder um ano, nada impedindo o Concedente de promover a instauração de tomada de contas especial antes do término da parceria, ante evidências de irregularidades na execução do objeto, podendo o prazo ser prorrogado por até trinta dias, desde que devidamente justificado;</w:t>
      </w:r>
    </w:p>
    <w:p w14:paraId="3D263F5C" w14:textId="77777777" w:rsidR="006924CB" w:rsidRDefault="006924CB">
      <w:pPr>
        <w:widowControl w:val="0"/>
        <w:spacing w:line="280" w:lineRule="auto"/>
        <w:ind w:right="16"/>
        <w:jc w:val="both"/>
        <w:rPr>
          <w:rFonts w:ascii="Times New Roman" w:eastAsia="Times New Roman" w:hAnsi="Times New Roman" w:cs="Times New Roman"/>
        </w:rPr>
      </w:pPr>
    </w:p>
    <w:p w14:paraId="7F598B47"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14.2</w:t>
      </w:r>
      <w:r>
        <w:rPr>
          <w:rFonts w:ascii="Times New Roman" w:eastAsia="Times New Roman" w:hAnsi="Times New Roman" w:cs="Times New Roman"/>
        </w:rPr>
        <w:t xml:space="preserve"> A manifestação conclusiva sobre a prestação de contas pelo Concedente observará os prazos previstos nesta instrução normativa, devendo concluir, alternativamente, pela:</w:t>
      </w:r>
    </w:p>
    <w:p w14:paraId="29412159" w14:textId="77777777" w:rsidR="006924CB" w:rsidRDefault="002933D0" w:rsidP="00FE1ADF">
      <w:pPr>
        <w:widowControl w:val="0"/>
        <w:numPr>
          <w:ilvl w:val="0"/>
          <w:numId w:val="11"/>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aprovação da prestação de contas;</w:t>
      </w:r>
    </w:p>
    <w:p w14:paraId="42A9253B" w14:textId="77777777" w:rsidR="006924CB" w:rsidRDefault="002933D0" w:rsidP="00FE1ADF">
      <w:pPr>
        <w:widowControl w:val="0"/>
        <w:numPr>
          <w:ilvl w:val="0"/>
          <w:numId w:val="11"/>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aprovação da prestação de contas com ressalvas; ou</w:t>
      </w:r>
    </w:p>
    <w:p w14:paraId="6E06105D" w14:textId="77777777" w:rsidR="006924CB" w:rsidRDefault="002933D0" w:rsidP="00FE1ADF">
      <w:pPr>
        <w:widowControl w:val="0"/>
        <w:numPr>
          <w:ilvl w:val="0"/>
          <w:numId w:val="11"/>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rejeição da prestação de contas e determinação de imediata instauração de tomada de contas especial.</w:t>
      </w:r>
    </w:p>
    <w:p w14:paraId="79AEA802" w14:textId="77777777" w:rsidR="006924CB" w:rsidRDefault="006924CB">
      <w:pPr>
        <w:widowControl w:val="0"/>
        <w:spacing w:line="280" w:lineRule="auto"/>
        <w:ind w:left="720" w:right="16"/>
        <w:jc w:val="both"/>
        <w:rPr>
          <w:rFonts w:ascii="Times New Roman" w:eastAsia="Times New Roman" w:hAnsi="Times New Roman" w:cs="Times New Roman"/>
        </w:rPr>
      </w:pPr>
    </w:p>
    <w:p w14:paraId="3C70480B"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14.3</w:t>
      </w:r>
      <w:r>
        <w:rPr>
          <w:rFonts w:ascii="Times New Roman" w:eastAsia="Times New Roman" w:hAnsi="Times New Roman" w:cs="Times New Roman"/>
        </w:rPr>
        <w:t xml:space="preserve"> As impropriedades que deram causa à rejeição da prestação de contas serão registradas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e também</w:t>
      </w:r>
      <w:proofErr w:type="gramEnd"/>
      <w:r>
        <w:rPr>
          <w:rFonts w:ascii="Times New Roman" w:eastAsia="Times New Roman" w:hAnsi="Times New Roman" w:cs="Times New Roman"/>
        </w:rPr>
        <w:t xml:space="preserve"> na plataforma eletrônica referida no artigo 22 da Instrução Normativa Conjunta SEPLAN/SEFAZ/CGE nº 001/2016, devendo ser levadas em consideração por ocasião da assinatura de futuras parcerias com a administração pública estadual.</w:t>
      </w:r>
    </w:p>
    <w:p w14:paraId="3A889674" w14:textId="77777777" w:rsidR="006924CB" w:rsidRDefault="006924CB">
      <w:pPr>
        <w:widowControl w:val="0"/>
        <w:spacing w:line="280" w:lineRule="auto"/>
        <w:ind w:right="16"/>
        <w:jc w:val="both"/>
        <w:rPr>
          <w:rFonts w:ascii="Times New Roman" w:eastAsia="Times New Roman" w:hAnsi="Times New Roman" w:cs="Times New Roman"/>
        </w:rPr>
      </w:pPr>
    </w:p>
    <w:p w14:paraId="2500AC6B"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14.4 </w:t>
      </w:r>
      <w:r>
        <w:rPr>
          <w:rFonts w:ascii="Times New Roman" w:eastAsia="Times New Roman" w:hAnsi="Times New Roman" w:cs="Times New Roman"/>
        </w:rPr>
        <w:t xml:space="preserve">Constatada irregularidade ou omissão na prestação de contas, será concedido prazo para a Organização da Sociedade Civil sanar a irregularidade ou cumprir a obrigação, sendo o prazo limitado </w:t>
      </w:r>
      <w:r>
        <w:rPr>
          <w:rFonts w:ascii="Times New Roman" w:eastAsia="Times New Roman" w:hAnsi="Times New Roman" w:cs="Times New Roman"/>
        </w:rPr>
        <w:lastRenderedPageBreak/>
        <w:t>a quarenta e cinco dias por notificação, prorrogável, no máximo, por igual período, dentro do prazo que o Concedente possui para analisar e decidir sobre a prestação de contas e comprovação de resultados.</w:t>
      </w:r>
    </w:p>
    <w:p w14:paraId="25E35B44" w14:textId="77777777" w:rsidR="006924CB" w:rsidRDefault="006924CB">
      <w:pPr>
        <w:widowControl w:val="0"/>
        <w:spacing w:line="280" w:lineRule="auto"/>
        <w:ind w:right="16"/>
        <w:jc w:val="both"/>
        <w:rPr>
          <w:rFonts w:ascii="Times New Roman" w:eastAsia="Times New Roman" w:hAnsi="Times New Roman" w:cs="Times New Roman"/>
        </w:rPr>
      </w:pPr>
    </w:p>
    <w:p w14:paraId="1E3103BE"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14.5</w:t>
      </w:r>
      <w:r>
        <w:rPr>
          <w:rFonts w:ascii="Times New Roman" w:eastAsia="Times New Roman" w:hAnsi="Times New Roman" w:cs="Times New Roman"/>
        </w:rPr>
        <w:t xml:space="preserve"> 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w:t>
      </w:r>
    </w:p>
    <w:p w14:paraId="596940CD" w14:textId="77777777" w:rsidR="006924CB" w:rsidRDefault="006924CB">
      <w:pPr>
        <w:widowControl w:val="0"/>
        <w:spacing w:line="280" w:lineRule="auto"/>
        <w:ind w:right="16"/>
        <w:jc w:val="both"/>
        <w:rPr>
          <w:rFonts w:ascii="Times New Roman" w:eastAsia="Times New Roman" w:hAnsi="Times New Roman" w:cs="Times New Roman"/>
        </w:rPr>
      </w:pPr>
    </w:p>
    <w:p w14:paraId="35E7DBD4"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14.6</w:t>
      </w:r>
      <w:r>
        <w:rPr>
          <w:rFonts w:ascii="Times New Roman" w:eastAsia="Times New Roman" w:hAnsi="Times New Roman" w:cs="Times New Roman"/>
        </w:rPr>
        <w:t xml:space="preserve"> O Concedente apreciará a prestação final de contas apresentada, no prazo de até cento e cinquenta dias, contado da data de seu recebimento ou do cumprimento de diligência por ela determinada, prorrogável justificadamente por igual período.</w:t>
      </w:r>
    </w:p>
    <w:p w14:paraId="1AE92850" w14:textId="77777777" w:rsidR="006924CB" w:rsidRDefault="006924CB">
      <w:pPr>
        <w:widowControl w:val="0"/>
        <w:spacing w:line="280" w:lineRule="auto"/>
        <w:ind w:right="16"/>
        <w:jc w:val="both"/>
        <w:rPr>
          <w:rFonts w:ascii="Times New Roman" w:eastAsia="Times New Roman" w:hAnsi="Times New Roman" w:cs="Times New Roman"/>
        </w:rPr>
      </w:pPr>
    </w:p>
    <w:p w14:paraId="7DBC45CC"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14.6.1</w:t>
      </w:r>
      <w:r>
        <w:rPr>
          <w:rFonts w:ascii="Times New Roman" w:eastAsia="Times New Roman" w:hAnsi="Times New Roman" w:cs="Times New Roman"/>
        </w:rPr>
        <w:t xml:space="preserve"> O transcurso do prazo sem que as contas tenham sido apreciadas:</w:t>
      </w:r>
    </w:p>
    <w:p w14:paraId="3ACEA0EA" w14:textId="77777777" w:rsidR="006924CB" w:rsidRDefault="002933D0" w:rsidP="00FE1ADF">
      <w:pPr>
        <w:widowControl w:val="0"/>
        <w:numPr>
          <w:ilvl w:val="0"/>
          <w:numId w:val="29"/>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não significa impossibilidade de apreciação em data posterior ou vedação a que se adotem medidas saneadoras, punitivas ou destinadas a ressarcir danos que possam ter sido causados aos cofres públicos;</w:t>
      </w:r>
    </w:p>
    <w:p w14:paraId="240009F3" w14:textId="77777777" w:rsidR="006924CB" w:rsidRDefault="002933D0" w:rsidP="00FE1ADF">
      <w:pPr>
        <w:widowControl w:val="0"/>
        <w:numPr>
          <w:ilvl w:val="0"/>
          <w:numId w:val="29"/>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pelo Concedente.</w:t>
      </w:r>
    </w:p>
    <w:p w14:paraId="308A7A0F" w14:textId="77777777" w:rsidR="006924CB" w:rsidRDefault="006924CB">
      <w:pPr>
        <w:widowControl w:val="0"/>
        <w:spacing w:line="280" w:lineRule="auto"/>
        <w:ind w:left="1440" w:right="16"/>
        <w:jc w:val="both"/>
        <w:rPr>
          <w:rFonts w:ascii="Times New Roman" w:eastAsia="Times New Roman" w:hAnsi="Times New Roman" w:cs="Times New Roman"/>
        </w:rPr>
      </w:pPr>
    </w:p>
    <w:p w14:paraId="4B794F90"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14.7</w:t>
      </w:r>
      <w:r>
        <w:rPr>
          <w:rFonts w:ascii="Times New Roman" w:eastAsia="Times New Roman" w:hAnsi="Times New Roman" w:cs="Times New Roman"/>
        </w:rPr>
        <w:t xml:space="preserve"> As prestações de contas serão avaliadas:</w:t>
      </w:r>
    </w:p>
    <w:p w14:paraId="07EE3769" w14:textId="77777777" w:rsidR="006924CB" w:rsidRDefault="002933D0" w:rsidP="00FE1ADF">
      <w:pPr>
        <w:widowControl w:val="0"/>
        <w:numPr>
          <w:ilvl w:val="0"/>
          <w:numId w:val="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regulares, quando expressarem, de forma clara e objetiva, o cumprimento dos objetivos e metas estabelecidos no plano de trabalho;</w:t>
      </w:r>
    </w:p>
    <w:p w14:paraId="58D0606E" w14:textId="77777777" w:rsidR="006924CB" w:rsidRDefault="002933D0" w:rsidP="00FE1ADF">
      <w:pPr>
        <w:widowControl w:val="0"/>
        <w:numPr>
          <w:ilvl w:val="0"/>
          <w:numId w:val="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 xml:space="preserve">regulares com ressalva, quando evidenciarem impropriedade ou qualquer outra falta de natureza formal que não resulte em </w:t>
      </w:r>
      <w:proofErr w:type="spellStart"/>
      <w:r>
        <w:rPr>
          <w:rFonts w:ascii="Times New Roman" w:eastAsia="Times New Roman" w:hAnsi="Times New Roman" w:cs="Times New Roman"/>
        </w:rPr>
        <w:t>dano</w:t>
      </w:r>
      <w:proofErr w:type="spellEnd"/>
      <w:r>
        <w:rPr>
          <w:rFonts w:ascii="Times New Roman" w:eastAsia="Times New Roman" w:hAnsi="Times New Roman" w:cs="Times New Roman"/>
        </w:rPr>
        <w:t xml:space="preserve"> ao erário;</w:t>
      </w:r>
    </w:p>
    <w:p w14:paraId="4D103905" w14:textId="77777777" w:rsidR="006924CB" w:rsidRDefault="002933D0" w:rsidP="00FE1ADF">
      <w:pPr>
        <w:widowControl w:val="0"/>
        <w:numPr>
          <w:ilvl w:val="0"/>
          <w:numId w:val="8"/>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irregulares, quando comprovada qualquer das seguintes circunstâncias:</w:t>
      </w:r>
    </w:p>
    <w:p w14:paraId="02686596" w14:textId="77777777" w:rsidR="006924CB" w:rsidRDefault="002933D0" w:rsidP="00FE1ADF">
      <w:pPr>
        <w:widowControl w:val="0"/>
        <w:numPr>
          <w:ilvl w:val="0"/>
          <w:numId w:val="2"/>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omissão no dever de prestar contas;</w:t>
      </w:r>
    </w:p>
    <w:p w14:paraId="7A0DED20" w14:textId="77777777" w:rsidR="006924CB" w:rsidRDefault="002933D0" w:rsidP="00FE1ADF">
      <w:pPr>
        <w:widowControl w:val="0"/>
        <w:numPr>
          <w:ilvl w:val="0"/>
          <w:numId w:val="2"/>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descumprimento injustificado dos objetivos e metas estabelecidos no plano de trabalho;</w:t>
      </w:r>
    </w:p>
    <w:p w14:paraId="034EE954" w14:textId="77777777" w:rsidR="006924CB" w:rsidRDefault="002933D0" w:rsidP="00FE1ADF">
      <w:pPr>
        <w:widowControl w:val="0"/>
        <w:numPr>
          <w:ilvl w:val="0"/>
          <w:numId w:val="2"/>
        </w:numPr>
        <w:spacing w:line="280" w:lineRule="auto"/>
        <w:ind w:right="16"/>
        <w:jc w:val="both"/>
        <w:rPr>
          <w:rFonts w:ascii="Times New Roman" w:eastAsia="Times New Roman" w:hAnsi="Times New Roman" w:cs="Times New Roman"/>
        </w:rPr>
      </w:pPr>
      <w:proofErr w:type="spellStart"/>
      <w:r>
        <w:rPr>
          <w:rFonts w:ascii="Times New Roman" w:eastAsia="Times New Roman" w:hAnsi="Times New Roman" w:cs="Times New Roman"/>
        </w:rPr>
        <w:t>dano</w:t>
      </w:r>
      <w:proofErr w:type="spellEnd"/>
      <w:r>
        <w:rPr>
          <w:rFonts w:ascii="Times New Roman" w:eastAsia="Times New Roman" w:hAnsi="Times New Roman" w:cs="Times New Roman"/>
        </w:rPr>
        <w:t xml:space="preserve"> ao erário decorrente de ato de gestão ilegítimo ou antieconômico;</w:t>
      </w:r>
    </w:p>
    <w:p w14:paraId="0559F9EF" w14:textId="77777777" w:rsidR="006924CB" w:rsidRDefault="002933D0" w:rsidP="00FE1ADF">
      <w:pPr>
        <w:widowControl w:val="0"/>
        <w:numPr>
          <w:ilvl w:val="0"/>
          <w:numId w:val="2"/>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desfalque ou desvio de dinheiro, bens ou valores públicos.</w:t>
      </w:r>
      <w:r>
        <w:rPr>
          <w:rFonts w:ascii="Times New Roman" w:eastAsia="Times New Roman" w:hAnsi="Times New Roman" w:cs="Times New Roman"/>
        </w:rPr>
        <w:tab/>
      </w:r>
    </w:p>
    <w:p w14:paraId="67D60510" w14:textId="77777777" w:rsidR="006924CB" w:rsidRDefault="006924CB">
      <w:pPr>
        <w:widowControl w:val="0"/>
        <w:spacing w:line="280" w:lineRule="auto"/>
        <w:ind w:right="16"/>
        <w:jc w:val="both"/>
        <w:rPr>
          <w:rFonts w:ascii="Times New Roman" w:eastAsia="Times New Roman" w:hAnsi="Times New Roman" w:cs="Times New Roman"/>
        </w:rPr>
      </w:pPr>
    </w:p>
    <w:p w14:paraId="188D3356"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14.8</w:t>
      </w:r>
      <w:r>
        <w:rPr>
          <w:rFonts w:ascii="Times New Roman" w:eastAsia="Times New Roman" w:hAnsi="Times New Roman" w:cs="Times New Roman"/>
        </w:rPr>
        <w:t xml:space="preserve"> O Concedente (ou proponente, no caso de Termo de Colaboração)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7BF73072" w14:textId="77777777" w:rsidR="006924CB" w:rsidRDefault="006924CB">
      <w:pPr>
        <w:widowControl w:val="0"/>
        <w:spacing w:line="280" w:lineRule="auto"/>
        <w:ind w:right="16"/>
        <w:jc w:val="both"/>
        <w:rPr>
          <w:rFonts w:ascii="Times New Roman" w:eastAsia="Times New Roman" w:hAnsi="Times New Roman" w:cs="Times New Roman"/>
        </w:rPr>
      </w:pPr>
    </w:p>
    <w:p w14:paraId="550A8D2F"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14.9 </w:t>
      </w:r>
      <w:r>
        <w:rPr>
          <w:rFonts w:ascii="Times New Roman" w:eastAsia="Times New Roman" w:hAnsi="Times New Roman" w:cs="Times New Roman"/>
        </w:rPr>
        <w:t xml:space="preserve">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ou de fomento e a área de atuação da organização, cuja mensuração econômica será feita </w:t>
      </w:r>
      <w:r>
        <w:rPr>
          <w:rFonts w:ascii="Times New Roman" w:eastAsia="Times New Roman" w:hAnsi="Times New Roman" w:cs="Times New Roman"/>
        </w:rPr>
        <w:lastRenderedPageBreak/>
        <w:t>a partir do plano de trabalho original, desde</w:t>
      </w:r>
      <w:r>
        <w:rPr>
          <w:rFonts w:ascii="Times New Roman" w:eastAsia="Times New Roman" w:hAnsi="Times New Roman" w:cs="Times New Roman"/>
        </w:rPr>
        <w:t xml:space="preserve"> que não tenha havido dolo ou fraude e não seja o caso de restituição integral dos recursos.</w:t>
      </w:r>
    </w:p>
    <w:p w14:paraId="10D72303" w14:textId="77777777" w:rsidR="006924CB" w:rsidRDefault="006924CB">
      <w:pPr>
        <w:widowControl w:val="0"/>
        <w:spacing w:line="280" w:lineRule="auto"/>
        <w:ind w:left="1440" w:right="16"/>
        <w:jc w:val="both"/>
        <w:rPr>
          <w:rFonts w:ascii="Times New Roman" w:eastAsia="Times New Roman" w:hAnsi="Times New Roman" w:cs="Times New Roman"/>
        </w:rPr>
      </w:pPr>
    </w:p>
    <w:p w14:paraId="2866E2E3"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CLÁUSULA DÉCIMA QUINTA – DA CONTRATAÇÃO PELAS ORGANIZAÇÕES DA SOCIEDADE CIVIL </w:t>
      </w:r>
      <w:r>
        <w:rPr>
          <w:rFonts w:ascii="Times New Roman" w:eastAsia="Times New Roman" w:hAnsi="Times New Roman" w:cs="Times New Roman"/>
        </w:rPr>
        <w:t xml:space="preserve"> </w:t>
      </w:r>
    </w:p>
    <w:p w14:paraId="0E1AEC2B"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15.1</w:t>
      </w:r>
      <w:r>
        <w:rPr>
          <w:rFonts w:ascii="Times New Roman" w:eastAsia="Times New Roman" w:hAnsi="Times New Roman" w:cs="Times New Roman"/>
        </w:rPr>
        <w:t xml:space="preserve"> Para a aquisição de bens e contratação de serviços, as organizações da sociedade civil deverão realizar, no mínimo, cotação prévia de preços no mercado, observados os princípios da impessoalidade, moralidade e economicidade.</w:t>
      </w:r>
    </w:p>
    <w:p w14:paraId="39E2EEF6" w14:textId="77777777" w:rsidR="006924CB" w:rsidRDefault="006924CB">
      <w:pPr>
        <w:widowControl w:val="0"/>
        <w:spacing w:line="280" w:lineRule="auto"/>
        <w:ind w:right="16"/>
        <w:jc w:val="both"/>
        <w:rPr>
          <w:rFonts w:ascii="Times New Roman" w:eastAsia="Times New Roman" w:hAnsi="Times New Roman" w:cs="Times New Roman"/>
        </w:rPr>
      </w:pPr>
    </w:p>
    <w:p w14:paraId="51F615D4"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15.2</w:t>
      </w:r>
      <w:r>
        <w:rPr>
          <w:rFonts w:ascii="Times New Roman" w:eastAsia="Times New Roman" w:hAnsi="Times New Roman" w:cs="Times New Roman"/>
        </w:rPr>
        <w:t xml:space="preserve"> A Organização da Sociedade Civil deverá contratar empresas que tenham participado da cotação prévia de preços, ressalvados os casos em que não acudirem interessados à cotação, quando será exigida pesquisa ao mercado prévia à contratação, que será registrada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 xml:space="preserve"> e deverá conter, no mínimo, orçamentos de três fornecedores, sem prejuízo da utilização de outros parâmetros, desde que demonstrado que os valores foram obtidos, observando o preço de referência estabelecido quando da apresentação do Plano de </w:t>
      </w:r>
      <w:r>
        <w:rPr>
          <w:rFonts w:ascii="Times New Roman" w:eastAsia="Times New Roman" w:hAnsi="Times New Roman" w:cs="Times New Roman"/>
        </w:rPr>
        <w:t>Trabalho.</w:t>
      </w:r>
    </w:p>
    <w:p w14:paraId="68B04446" w14:textId="77777777" w:rsidR="006924CB" w:rsidRDefault="006924CB">
      <w:pPr>
        <w:widowControl w:val="0"/>
        <w:spacing w:line="280" w:lineRule="auto"/>
        <w:ind w:right="16"/>
        <w:jc w:val="both"/>
        <w:rPr>
          <w:rFonts w:ascii="Times New Roman" w:eastAsia="Times New Roman" w:hAnsi="Times New Roman" w:cs="Times New Roman"/>
        </w:rPr>
      </w:pPr>
    </w:p>
    <w:p w14:paraId="4D381E9A"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15.3</w:t>
      </w:r>
      <w:r>
        <w:rPr>
          <w:rFonts w:ascii="Times New Roman" w:eastAsia="Times New Roman" w:hAnsi="Times New Roman" w:cs="Times New Roman"/>
        </w:rPr>
        <w:t xml:space="preserve"> Para realização da cotação de preços, a OSC deverá executar os seguintes procedimentos:</w:t>
      </w:r>
    </w:p>
    <w:p w14:paraId="7CFAC65E" w14:textId="77777777" w:rsidR="006924CB" w:rsidRDefault="002933D0" w:rsidP="00FE1ADF">
      <w:pPr>
        <w:widowControl w:val="0"/>
        <w:numPr>
          <w:ilvl w:val="0"/>
          <w:numId w:val="23"/>
        </w:numPr>
        <w:spacing w:line="280" w:lineRule="auto"/>
        <w:ind w:left="1700" w:right="16" w:firstLine="0"/>
        <w:jc w:val="both"/>
        <w:rPr>
          <w:rFonts w:ascii="Times New Roman" w:eastAsia="Times New Roman" w:hAnsi="Times New Roman" w:cs="Times New Roman"/>
        </w:rPr>
      </w:pPr>
      <w:r>
        <w:rPr>
          <w:rFonts w:ascii="Times New Roman" w:eastAsia="Times New Roman" w:hAnsi="Times New Roman" w:cs="Times New Roman"/>
        </w:rPr>
        <w:t xml:space="preserve">elaborar a solicitação de orçamento para cotação de preços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w:t>
      </w:r>
    </w:p>
    <w:p w14:paraId="3B990ED7" w14:textId="77777777" w:rsidR="006924CB" w:rsidRDefault="002933D0" w:rsidP="00FE1ADF">
      <w:pPr>
        <w:widowControl w:val="0"/>
        <w:numPr>
          <w:ilvl w:val="0"/>
          <w:numId w:val="23"/>
        </w:numPr>
        <w:spacing w:line="280" w:lineRule="auto"/>
        <w:ind w:left="1700" w:right="16" w:firstLine="0"/>
        <w:jc w:val="both"/>
        <w:rPr>
          <w:rFonts w:ascii="Times New Roman" w:eastAsia="Times New Roman" w:hAnsi="Times New Roman" w:cs="Times New Roman"/>
        </w:rPr>
      </w:pPr>
      <w:r>
        <w:rPr>
          <w:rFonts w:ascii="Times New Roman" w:eastAsia="Times New Roman" w:hAnsi="Times New Roman" w:cs="Times New Roman"/>
        </w:rPr>
        <w:t>descrever o objeto a ser contratado de forma completa e detalhada, e em conformidade com o Plano de Trabalho, classificando o tipo de objeto em serviços ou produtos;</w:t>
      </w:r>
    </w:p>
    <w:p w14:paraId="79DB3055" w14:textId="77777777" w:rsidR="006924CB" w:rsidRDefault="002933D0" w:rsidP="00FE1ADF">
      <w:pPr>
        <w:widowControl w:val="0"/>
        <w:numPr>
          <w:ilvl w:val="0"/>
          <w:numId w:val="23"/>
        </w:numPr>
        <w:spacing w:line="280" w:lineRule="auto"/>
        <w:ind w:left="1700" w:right="16" w:firstLine="0"/>
        <w:jc w:val="both"/>
        <w:rPr>
          <w:rFonts w:ascii="Times New Roman" w:eastAsia="Times New Roman" w:hAnsi="Times New Roman" w:cs="Times New Roman"/>
        </w:rPr>
      </w:pPr>
      <w:r>
        <w:rPr>
          <w:rFonts w:ascii="Times New Roman" w:eastAsia="Times New Roman" w:hAnsi="Times New Roman" w:cs="Times New Roman"/>
        </w:rPr>
        <w:t>especificar todos os itens a adquirir, com as respectivas unidades de medidas e quantidades;</w:t>
      </w:r>
    </w:p>
    <w:p w14:paraId="68DA3219" w14:textId="77777777" w:rsidR="006924CB" w:rsidRDefault="002933D0" w:rsidP="00FE1ADF">
      <w:pPr>
        <w:widowControl w:val="0"/>
        <w:numPr>
          <w:ilvl w:val="0"/>
          <w:numId w:val="23"/>
        </w:numPr>
        <w:spacing w:line="280" w:lineRule="auto"/>
        <w:ind w:left="1700" w:right="16" w:firstLine="0"/>
        <w:jc w:val="both"/>
        <w:rPr>
          <w:rFonts w:ascii="Times New Roman" w:eastAsia="Times New Roman" w:hAnsi="Times New Roman" w:cs="Times New Roman"/>
        </w:rPr>
      </w:pPr>
      <w:r>
        <w:rPr>
          <w:rFonts w:ascii="Times New Roman" w:eastAsia="Times New Roman" w:hAnsi="Times New Roman" w:cs="Times New Roman"/>
        </w:rPr>
        <w:t>enviar a solicitação de orçamento para cotação de preços a, no mínimo, 03 (três) fornecedores ou prestadores de serviços, estabelecendo prazo máximo para o recebimento de propostas de 05 (cinco) dias para aquisição de bens, e 15 (quinze) dias para a contratação de serviços;</w:t>
      </w:r>
    </w:p>
    <w:p w14:paraId="15C0E7CA" w14:textId="77777777" w:rsidR="006924CB" w:rsidRDefault="002933D0" w:rsidP="00FE1ADF">
      <w:pPr>
        <w:widowControl w:val="0"/>
        <w:numPr>
          <w:ilvl w:val="0"/>
          <w:numId w:val="23"/>
        </w:numPr>
        <w:spacing w:line="280" w:lineRule="auto"/>
        <w:ind w:left="1700" w:right="16" w:firstLine="0"/>
        <w:jc w:val="both"/>
        <w:rPr>
          <w:rFonts w:ascii="Times New Roman" w:eastAsia="Times New Roman" w:hAnsi="Times New Roman" w:cs="Times New Roman"/>
        </w:rPr>
      </w:pPr>
      <w:r>
        <w:rPr>
          <w:rFonts w:ascii="Times New Roman" w:eastAsia="Times New Roman" w:hAnsi="Times New Roman" w:cs="Times New Roman"/>
        </w:rPr>
        <w:t>verificar se os produtos ou serviços orçados pelos fornecedores ou prestadores de serviços são compatíveis com as especificações técnicas e funcionais previstas na Solicitação de Orçamento;</w:t>
      </w:r>
    </w:p>
    <w:p w14:paraId="2488E9C8" w14:textId="77777777" w:rsidR="006924CB" w:rsidRDefault="002933D0" w:rsidP="00FE1ADF">
      <w:pPr>
        <w:widowControl w:val="0"/>
        <w:numPr>
          <w:ilvl w:val="0"/>
          <w:numId w:val="23"/>
        </w:numPr>
        <w:spacing w:line="280" w:lineRule="auto"/>
        <w:ind w:left="1700" w:right="16" w:firstLine="0"/>
        <w:jc w:val="both"/>
        <w:rPr>
          <w:rFonts w:ascii="Times New Roman" w:eastAsia="Times New Roman" w:hAnsi="Times New Roman" w:cs="Times New Roman"/>
        </w:rPr>
      </w:pPr>
      <w:r>
        <w:rPr>
          <w:rFonts w:ascii="Times New Roman" w:eastAsia="Times New Roman" w:hAnsi="Times New Roman" w:cs="Times New Roman"/>
        </w:rPr>
        <w:t xml:space="preserve">registrar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 xml:space="preserve"> os orçamentos apresentados, informando o nome do fornecedor ou prestador de serviço, CNPJ/CPF, endereço, telefone, e-mail e site se houver, e o preço unitário de cada item </w:t>
      </w:r>
      <w:proofErr w:type="spellStart"/>
      <w:proofErr w:type="gramStart"/>
      <w:r>
        <w:rPr>
          <w:rFonts w:ascii="Times New Roman" w:eastAsia="Times New Roman" w:hAnsi="Times New Roman" w:cs="Times New Roman"/>
        </w:rPr>
        <w:t>solicitado;e</w:t>
      </w:r>
      <w:proofErr w:type="spellEnd"/>
      <w:proofErr w:type="gramEnd"/>
    </w:p>
    <w:p w14:paraId="337D5661" w14:textId="77777777" w:rsidR="006924CB" w:rsidRDefault="002933D0" w:rsidP="00FE1ADF">
      <w:pPr>
        <w:widowControl w:val="0"/>
        <w:numPr>
          <w:ilvl w:val="0"/>
          <w:numId w:val="23"/>
        </w:numPr>
        <w:spacing w:line="280" w:lineRule="auto"/>
        <w:ind w:left="1700" w:right="16" w:firstLine="0"/>
        <w:jc w:val="both"/>
        <w:rPr>
          <w:rFonts w:ascii="Times New Roman" w:eastAsia="Times New Roman" w:hAnsi="Times New Roman" w:cs="Times New Roman"/>
        </w:rPr>
      </w:pPr>
      <w:r>
        <w:rPr>
          <w:rFonts w:ascii="Times New Roman" w:eastAsia="Times New Roman" w:hAnsi="Times New Roman" w:cs="Times New Roman"/>
        </w:rPr>
        <w:t xml:space="preserve">o resultado da seleção será registrado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w:t>
      </w:r>
    </w:p>
    <w:p w14:paraId="6A678DF8" w14:textId="77777777" w:rsidR="006924CB" w:rsidRDefault="006924CB">
      <w:pPr>
        <w:widowControl w:val="0"/>
        <w:spacing w:line="280" w:lineRule="auto"/>
        <w:ind w:left="2160" w:right="16"/>
        <w:jc w:val="both"/>
        <w:rPr>
          <w:rFonts w:ascii="Times New Roman" w:eastAsia="Times New Roman" w:hAnsi="Times New Roman" w:cs="Times New Roman"/>
        </w:rPr>
      </w:pPr>
    </w:p>
    <w:p w14:paraId="21BE4EEB"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15.4</w:t>
      </w:r>
      <w:r>
        <w:rPr>
          <w:rFonts w:ascii="Times New Roman" w:eastAsia="Times New Roman" w:hAnsi="Times New Roman" w:cs="Times New Roman"/>
        </w:rPr>
        <w:t xml:space="preserve"> Nas hipóteses em que não houver pluralidade de opções, em razão da natureza do objeto, deve-se registrar a cotação prévia de preços obtidas no </w:t>
      </w:r>
      <w:proofErr w:type="spellStart"/>
      <w:r>
        <w:rPr>
          <w:rFonts w:ascii="Times New Roman" w:eastAsia="Times New Roman" w:hAnsi="Times New Roman" w:cs="Times New Roman"/>
        </w:rPr>
        <w:t>SIGCon</w:t>
      </w:r>
      <w:proofErr w:type="spellEnd"/>
      <w:r>
        <w:rPr>
          <w:rFonts w:ascii="Times New Roman" w:eastAsia="Times New Roman" w:hAnsi="Times New Roman" w:cs="Times New Roman"/>
        </w:rPr>
        <w:t>.</w:t>
      </w:r>
    </w:p>
    <w:p w14:paraId="1CE64F76" w14:textId="77777777" w:rsidR="006924CB" w:rsidRDefault="006924CB">
      <w:pPr>
        <w:widowControl w:val="0"/>
        <w:spacing w:line="280" w:lineRule="auto"/>
        <w:ind w:right="16"/>
        <w:jc w:val="both"/>
        <w:rPr>
          <w:rFonts w:ascii="Times New Roman" w:eastAsia="Times New Roman" w:hAnsi="Times New Roman" w:cs="Times New Roman"/>
        </w:rPr>
      </w:pPr>
    </w:p>
    <w:p w14:paraId="4A831D49"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 xml:space="preserve">15.5 </w:t>
      </w:r>
      <w:r>
        <w:rPr>
          <w:rFonts w:ascii="Times New Roman" w:eastAsia="Times New Roman" w:hAnsi="Times New Roman" w:cs="Times New Roman"/>
        </w:rPr>
        <w:t>A Organização da Sociedade Civil beneficiária de recursos públicos deverá executar diretamente a integralidade do objeto, permitindo-se a contratação de serviços de terceiros quando houver previsão no plano ou programa de trabalho ou em razão de fato superveniente e imprevisível, devidamente justificado, aprovado pelo órgão ou entidade concedente.</w:t>
      </w:r>
    </w:p>
    <w:p w14:paraId="230754EF" w14:textId="77777777" w:rsidR="006924CB" w:rsidRDefault="006924CB">
      <w:pPr>
        <w:widowControl w:val="0"/>
        <w:spacing w:line="280" w:lineRule="auto"/>
        <w:ind w:right="16"/>
        <w:jc w:val="both"/>
        <w:rPr>
          <w:rFonts w:ascii="Times New Roman" w:eastAsia="Times New Roman" w:hAnsi="Times New Roman" w:cs="Times New Roman"/>
        </w:rPr>
      </w:pPr>
    </w:p>
    <w:p w14:paraId="6B521F60"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15.6</w:t>
      </w:r>
      <w:r>
        <w:rPr>
          <w:rFonts w:ascii="Times New Roman" w:eastAsia="Times New Roman" w:hAnsi="Times New Roman" w:cs="Times New Roman"/>
        </w:rPr>
        <w:t xml:space="preserve"> Nas contratações de bens, obras e serviços as Organizações da Sociedade Civil poderão utilizar-</w:t>
      </w:r>
      <w:r>
        <w:rPr>
          <w:rFonts w:ascii="Times New Roman" w:eastAsia="Times New Roman" w:hAnsi="Times New Roman" w:cs="Times New Roman"/>
        </w:rPr>
        <w:lastRenderedPageBreak/>
        <w:t>se do sistema de registro de preços dos órgãos e entidades da Administração Pública Estadual e dos demais entes federados, mediante autorização do gestor do registro de preço.</w:t>
      </w:r>
    </w:p>
    <w:p w14:paraId="488A9BD0" w14:textId="77777777" w:rsidR="006924CB" w:rsidRDefault="006924CB">
      <w:pPr>
        <w:widowControl w:val="0"/>
        <w:spacing w:line="280" w:lineRule="auto"/>
        <w:ind w:left="1440" w:right="16"/>
        <w:jc w:val="both"/>
        <w:rPr>
          <w:rFonts w:ascii="Times New Roman" w:eastAsia="Times New Roman" w:hAnsi="Times New Roman" w:cs="Times New Roman"/>
        </w:rPr>
      </w:pPr>
    </w:p>
    <w:p w14:paraId="088850CF"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DÉCIMA SEXTA – DA RESPONSABILIDADE E DAS SANÇÕES</w:t>
      </w:r>
    </w:p>
    <w:p w14:paraId="7090CB4B"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16.1</w:t>
      </w:r>
      <w:r>
        <w:rPr>
          <w:rFonts w:ascii="Times New Roman" w:eastAsia="Times New Roman" w:hAnsi="Times New Roman" w:cs="Times New Roman"/>
        </w:rPr>
        <w:t xml:space="preserve"> Pela execução da parceria em desacordo com o plano de trabalho e com as normas aplicáveis ao regime jurídico para execução de projetos entre a Administração e OSC, o Concedente (ou Proponente, no caso de Termo de Colaboração) poderá, garantida a prévia defesa, aplicar à Organização da Sociedade Civil as seguintes sanções:</w:t>
      </w:r>
    </w:p>
    <w:p w14:paraId="7DD401FD" w14:textId="77777777" w:rsidR="006924CB" w:rsidRDefault="002933D0" w:rsidP="00FE1ADF">
      <w:pPr>
        <w:widowControl w:val="0"/>
        <w:numPr>
          <w:ilvl w:val="0"/>
          <w:numId w:val="15"/>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advertência;</w:t>
      </w:r>
    </w:p>
    <w:p w14:paraId="495D4FF4" w14:textId="77777777" w:rsidR="006924CB" w:rsidRDefault="002933D0" w:rsidP="00FE1ADF">
      <w:pPr>
        <w:widowControl w:val="0"/>
        <w:numPr>
          <w:ilvl w:val="0"/>
          <w:numId w:val="15"/>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suspensão temporária da participação em chamamento público e impedimento de celebrar parceria ou contrato com órgãos e entidades da esfera de governo da administração pública sancionadora, por prazo não superior a dois anos;</w:t>
      </w:r>
    </w:p>
    <w:p w14:paraId="1BD12606" w14:textId="77777777" w:rsidR="006924CB" w:rsidRDefault="002933D0" w:rsidP="00FE1ADF">
      <w:pPr>
        <w:widowControl w:val="0"/>
        <w:numPr>
          <w:ilvl w:val="0"/>
          <w:numId w:val="15"/>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 xml:space="preserve">declaração de inidoneidade para participar de chamamento público ou celebrar parceria ou contrato com órgãos e entidades da administração pública do Estado de Mato Grosso,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na alínea </w:t>
      </w:r>
      <w:r>
        <w:rPr>
          <w:rFonts w:ascii="Times New Roman" w:eastAsia="Times New Roman" w:hAnsi="Times New Roman" w:cs="Times New Roman"/>
        </w:rPr>
        <w:t xml:space="preserve">b. </w:t>
      </w:r>
    </w:p>
    <w:p w14:paraId="41AC7A9D"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16.2</w:t>
      </w:r>
      <w:r>
        <w:rPr>
          <w:rFonts w:ascii="Times New Roman" w:eastAsia="Times New Roman" w:hAnsi="Times New Roman" w:cs="Times New Roman"/>
        </w:rPr>
        <w:t xml:space="preserve"> As sanções de suspensão temporária e declaração de inidoneidade são de competência exclusiva do Secretário de Estado, conforme o caso, facultada a defesa do interessado no respectivo processo, no prazo de dez dias da abertura de vista, podendo a reabilitação ser requerida após dois anos de aplicação da penalidade.</w:t>
      </w:r>
    </w:p>
    <w:p w14:paraId="10E8A8FD"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16.3</w:t>
      </w:r>
      <w:r>
        <w:rPr>
          <w:rFonts w:ascii="Times New Roman" w:eastAsia="Times New Roman" w:hAnsi="Times New Roman" w:cs="Times New Roman"/>
        </w:rPr>
        <w:t xml:space="preserve"> Prescreve em cinco anos, contados a partir da data da apresentação da prestação de contas, a aplicação de penalidade decorrente de infração relacionada à execução da parceria.</w:t>
      </w:r>
    </w:p>
    <w:p w14:paraId="48A79E1E"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16.4</w:t>
      </w:r>
      <w:r>
        <w:rPr>
          <w:rFonts w:ascii="Times New Roman" w:eastAsia="Times New Roman" w:hAnsi="Times New Roman" w:cs="Times New Roman"/>
        </w:rPr>
        <w:t xml:space="preserve"> A prescrição será interrompida com a edição de ato administrativo voltado à apuração da infração.</w:t>
      </w:r>
    </w:p>
    <w:p w14:paraId="6169C52E" w14:textId="77777777" w:rsidR="006924CB" w:rsidRDefault="006924CB">
      <w:pPr>
        <w:widowControl w:val="0"/>
        <w:spacing w:line="280" w:lineRule="auto"/>
        <w:ind w:right="16"/>
        <w:jc w:val="both"/>
        <w:rPr>
          <w:rFonts w:ascii="Times New Roman" w:eastAsia="Times New Roman" w:hAnsi="Times New Roman" w:cs="Times New Roman"/>
        </w:rPr>
      </w:pPr>
    </w:p>
    <w:p w14:paraId="31BE5F36"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DÉCIMA SÉTIMA – DA TITULARIDADE DOS BENS E DIREITOS REMANESCENTES</w:t>
      </w:r>
    </w:p>
    <w:p w14:paraId="6F576ADD" w14:textId="77777777" w:rsidR="006924CB" w:rsidRDefault="002933D0">
      <w:pPr>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[PRIMEIRA OPÇÃO – REGRA GERAL - TITULARIDADE DA OSC] </w:t>
      </w:r>
    </w:p>
    <w:p w14:paraId="07AB8EBC"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17.1.</w:t>
      </w:r>
      <w:r>
        <w:rPr>
          <w:rFonts w:ascii="Times New Roman" w:eastAsia="Times New Roman" w:hAnsi="Times New Roman" w:cs="Times New Roman"/>
        </w:rPr>
        <w:t xml:space="preserve"> 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14:paraId="5B8F6BE1" w14:textId="77777777" w:rsidR="006924CB" w:rsidRDefault="006924CB">
      <w:pPr>
        <w:jc w:val="both"/>
        <w:rPr>
          <w:rFonts w:ascii="Times New Roman" w:eastAsia="Times New Roman" w:hAnsi="Times New Roman" w:cs="Times New Roman"/>
        </w:rPr>
      </w:pPr>
    </w:p>
    <w:p w14:paraId="282A8FAD"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17.2.</w:t>
      </w:r>
      <w:r>
        <w:rPr>
          <w:rFonts w:ascii="Times New Roman" w:eastAsia="Times New Roman" w:hAnsi="Times New Roman" w:cs="Times New Roman"/>
        </w:rPr>
        <w:t xml:space="preserve">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 </w:t>
      </w:r>
    </w:p>
    <w:p w14:paraId="03D699C5" w14:textId="77777777" w:rsidR="006924CB" w:rsidRDefault="006924CB">
      <w:pPr>
        <w:jc w:val="both"/>
        <w:rPr>
          <w:rFonts w:ascii="Times New Roman" w:eastAsia="Times New Roman" w:hAnsi="Times New Roman" w:cs="Times New Roman"/>
        </w:rPr>
      </w:pPr>
    </w:p>
    <w:p w14:paraId="5AD5DDB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17.3.</w:t>
      </w:r>
      <w:r>
        <w:rPr>
          <w:rFonts w:ascii="Times New Roman" w:eastAsia="Times New Roman" w:hAnsi="Times New Roman" w:cs="Times New Roman"/>
        </w:rPr>
        <w:t xml:space="preserve"> Fica a OSC autorizada a realizar doação a terceiros, inclusive beneficiários da política pública objeto da parceria, desde que demonstrada a sua utilidade para a realização ou a continuidade de ações de interesse social. </w:t>
      </w:r>
    </w:p>
    <w:p w14:paraId="59A712A3" w14:textId="77777777" w:rsidR="006924CB" w:rsidRDefault="006924CB">
      <w:pPr>
        <w:jc w:val="both"/>
        <w:rPr>
          <w:rFonts w:ascii="Times New Roman" w:eastAsia="Times New Roman" w:hAnsi="Times New Roman" w:cs="Times New Roman"/>
        </w:rPr>
      </w:pPr>
    </w:p>
    <w:p w14:paraId="7982E5A8"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lastRenderedPageBreak/>
        <w:t>17.4.</w:t>
      </w:r>
      <w:r>
        <w:rPr>
          <w:rFonts w:ascii="Times New Roman" w:eastAsia="Times New Roman" w:hAnsi="Times New Roman" w:cs="Times New Roman"/>
        </w:rPr>
        <w:t xml:space="preserve"> Caso a prestação de contas final seja rejeitada, a titularidade dos bens remanescentes permanecerá com a OSC, observados os seguintes procedimentos: </w:t>
      </w:r>
    </w:p>
    <w:p w14:paraId="2DB1543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não será exigido ressarcimento do valor relativo ao bem adquirido quando a motivação da rejeição não estiver relacionada ao seu uso ou aquisição; ou </w:t>
      </w:r>
    </w:p>
    <w:p w14:paraId="06F7C6E1"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o valor pelo qual o bem remanescente foi adquirido deverá ser computado no cálculo do dano ao erário a ser ressarcido, quando a motivação da rejeição estiver relacionada ao seu uso ou aquisição. </w:t>
      </w:r>
    </w:p>
    <w:p w14:paraId="6A954881" w14:textId="77777777" w:rsidR="006924CB" w:rsidRDefault="006924CB">
      <w:pPr>
        <w:jc w:val="both"/>
        <w:rPr>
          <w:rFonts w:ascii="Times New Roman" w:eastAsia="Times New Roman" w:hAnsi="Times New Roman" w:cs="Times New Roman"/>
        </w:rPr>
      </w:pPr>
    </w:p>
    <w:p w14:paraId="7C0B617D"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17.5.</w:t>
      </w:r>
      <w:r>
        <w:rPr>
          <w:rFonts w:ascii="Times New Roman" w:eastAsia="Times New Roman" w:hAnsi="Times New Roman" w:cs="Times New Roman"/>
        </w:rPr>
        <w:t xml:space="preserve">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14:paraId="5BA7F670" w14:textId="77777777" w:rsidR="006924CB" w:rsidRDefault="006924CB">
      <w:pPr>
        <w:jc w:val="both"/>
        <w:rPr>
          <w:rFonts w:ascii="Times New Roman" w:eastAsia="Times New Roman" w:hAnsi="Times New Roman" w:cs="Times New Roman"/>
        </w:rPr>
      </w:pPr>
    </w:p>
    <w:p w14:paraId="55A6149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17.6.</w:t>
      </w:r>
      <w:r>
        <w:rPr>
          <w:rFonts w:ascii="Times New Roman" w:eastAsia="Times New Roman" w:hAnsi="Times New Roman" w:cs="Times New Roman"/>
        </w:rPr>
        <w:t xml:space="preserve"> Em exceção ao disposto no caput desta cláusula, os bens remanescentes poderão ter sua propriedade revertida para o órgão ou entidade pública estadual, a critério da Administração Pública, para fins de assegurar a continuidade do objeto pactuado, por meio da celebração de nova parceria ou pela execução direta do objeto pela Administração Pública Estadual.</w:t>
      </w:r>
    </w:p>
    <w:p w14:paraId="5F716A0E" w14:textId="77777777" w:rsidR="006924CB" w:rsidRDefault="006924CB">
      <w:pPr>
        <w:jc w:val="both"/>
        <w:rPr>
          <w:rFonts w:ascii="Times New Roman" w:eastAsia="Times New Roman" w:hAnsi="Times New Roman" w:cs="Times New Roman"/>
        </w:rPr>
      </w:pPr>
    </w:p>
    <w:p w14:paraId="1CFE7C92" w14:textId="77777777" w:rsidR="006924CB" w:rsidRDefault="002933D0">
      <w:pPr>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[SEGUNDA OPÇÃO – TITULARIDADE DA ADMINISTRAÇÃO PÚBLICA] </w:t>
      </w:r>
    </w:p>
    <w:p w14:paraId="69FDAC93" w14:textId="77777777" w:rsidR="006924CB" w:rsidRDefault="006924CB">
      <w:pPr>
        <w:jc w:val="both"/>
        <w:rPr>
          <w:rFonts w:ascii="Times New Roman" w:eastAsia="Times New Roman" w:hAnsi="Times New Roman" w:cs="Times New Roman"/>
        </w:rPr>
      </w:pPr>
    </w:p>
    <w:p w14:paraId="43D284C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17.1.</w:t>
      </w:r>
      <w:r>
        <w:rPr>
          <w:rFonts w:ascii="Times New Roman" w:eastAsia="Times New Roman" w:hAnsi="Times New Roman" w:cs="Times New Roman"/>
        </w:rPr>
        <w:t xml:space="preserve"> Os bens patrimoniais adquiridos, produzidos, transformados ou construídos com recursos repassados são da titularidade da Administração Pública e ficarão afetados ao objeto da presente parceria durante o prazo de sua duração, sendo considerados bens remanescentes ao seu término.</w:t>
      </w:r>
    </w:p>
    <w:p w14:paraId="7E3DA0E8" w14:textId="77777777" w:rsidR="006924CB" w:rsidRDefault="006924CB">
      <w:pPr>
        <w:jc w:val="both"/>
        <w:rPr>
          <w:rFonts w:ascii="Times New Roman" w:eastAsia="Times New Roman" w:hAnsi="Times New Roman" w:cs="Times New Roman"/>
        </w:rPr>
      </w:pPr>
    </w:p>
    <w:p w14:paraId="1D52EED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17.2.</w:t>
      </w:r>
      <w:r>
        <w:rPr>
          <w:rFonts w:ascii="Times New Roman" w:eastAsia="Times New Roman" w:hAnsi="Times New Roman" w:cs="Times New Roman"/>
        </w:rPr>
        <w:t xml:space="preserve"> Quando da extinção da parceria, os bens remanescentes permanecerão na propriedade da Administração Pública, na medida em que os bens serão necessários para assegurar a continuidade do objeto pactuado, seja por meio da celebração de nova parceria, seja pela execução direta do objeto pela Administração Pública Estadual. </w:t>
      </w:r>
    </w:p>
    <w:p w14:paraId="11A0E8F3" w14:textId="77777777" w:rsidR="006924CB" w:rsidRDefault="006924CB">
      <w:pPr>
        <w:jc w:val="both"/>
        <w:rPr>
          <w:rFonts w:ascii="Times New Roman" w:eastAsia="Times New Roman" w:hAnsi="Times New Roman" w:cs="Times New Roman"/>
        </w:rPr>
      </w:pPr>
    </w:p>
    <w:p w14:paraId="6515730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17.3. </w:t>
      </w:r>
      <w:r>
        <w:rPr>
          <w:rFonts w:ascii="Times New Roman" w:eastAsia="Times New Roman" w:hAnsi="Times New Roman" w:cs="Times New Roman"/>
        </w:rPr>
        <w:t xml:space="preserve">A OSC deverá, a partir da data da apresentação da prestação de contas final, disponibilizar os bens remanescentes para a Administração Pública Estadual, que deverá retirá-los, no prazo de até 60 (sessenta) dias, após o qual a OSC não mais será responsável pelos bens. </w:t>
      </w:r>
    </w:p>
    <w:p w14:paraId="02EA37E6" w14:textId="77777777" w:rsidR="006924CB" w:rsidRDefault="006924CB">
      <w:pPr>
        <w:jc w:val="both"/>
        <w:rPr>
          <w:rFonts w:ascii="Times New Roman" w:eastAsia="Times New Roman" w:hAnsi="Times New Roman" w:cs="Times New Roman"/>
        </w:rPr>
      </w:pPr>
    </w:p>
    <w:p w14:paraId="6E6F250E" w14:textId="77777777" w:rsidR="006924CB" w:rsidRDefault="002933D0">
      <w:pPr>
        <w:jc w:val="both"/>
        <w:rPr>
          <w:rFonts w:ascii="Times New Roman" w:eastAsia="Times New Roman" w:hAnsi="Times New Roman" w:cs="Times New Roman"/>
          <w:b/>
        </w:rPr>
      </w:pPr>
      <w:r>
        <w:rPr>
          <w:rFonts w:ascii="Times New Roman" w:eastAsia="Times New Roman" w:hAnsi="Times New Roman" w:cs="Times New Roman"/>
          <w:b/>
        </w:rPr>
        <w:t>17.4.</w:t>
      </w:r>
      <w:r>
        <w:rPr>
          <w:rFonts w:ascii="Times New Roman" w:eastAsia="Times New Roman" w:hAnsi="Times New Roman" w:cs="Times New Roman"/>
        </w:rPr>
        <w:t xml:space="preserve"> Na hipótese de dissolução da OSC durante a vigência da parceria, os bens remanescentes deverão ser retirados pela Administração Pública Estadual, no prazo de até 90 (noventa) dias, contado da data de notificação da dissolução. </w:t>
      </w:r>
    </w:p>
    <w:p w14:paraId="38ED7443" w14:textId="77777777" w:rsidR="006924CB" w:rsidRDefault="006924CB">
      <w:pPr>
        <w:widowControl w:val="0"/>
        <w:spacing w:line="280" w:lineRule="auto"/>
        <w:ind w:right="16"/>
        <w:jc w:val="both"/>
        <w:rPr>
          <w:rFonts w:ascii="Times New Roman" w:eastAsia="Times New Roman" w:hAnsi="Times New Roman" w:cs="Times New Roman"/>
        </w:rPr>
      </w:pPr>
    </w:p>
    <w:p w14:paraId="08920795"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CLÁUSULA DÉCIMA OITAVA – DA TRANSFERÊNCIA DE RESPONSABILIDADE</w:t>
      </w:r>
      <w:r>
        <w:rPr>
          <w:rFonts w:ascii="Times New Roman" w:eastAsia="Times New Roman" w:hAnsi="Times New Roman" w:cs="Times New Roman"/>
        </w:rPr>
        <w:t xml:space="preserve"> </w:t>
      </w:r>
    </w:p>
    <w:p w14:paraId="65399F6A"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18.1</w:t>
      </w:r>
      <w:r>
        <w:rPr>
          <w:rFonts w:ascii="Times New Roman" w:eastAsia="Times New Roman" w:hAnsi="Times New Roman" w:cs="Times New Roman"/>
        </w:rPr>
        <w:t xml:space="preserve"> O Concedente (ou Proponente, no caso de Termo de Colaboração) poderá assumir ou transferir a responsabilidade pela execução do objeto, no caso de paralisação, de modo a evitar sua descontinuidade.</w:t>
      </w:r>
    </w:p>
    <w:p w14:paraId="6EA59FDD" w14:textId="77777777" w:rsidR="006924CB" w:rsidRDefault="006924CB">
      <w:pPr>
        <w:widowControl w:val="0"/>
        <w:spacing w:line="280" w:lineRule="auto"/>
        <w:ind w:right="16"/>
        <w:jc w:val="both"/>
        <w:rPr>
          <w:rFonts w:ascii="Times New Roman" w:eastAsia="Times New Roman" w:hAnsi="Times New Roman" w:cs="Times New Roman"/>
        </w:rPr>
      </w:pPr>
    </w:p>
    <w:p w14:paraId="62F2D2E0"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DÉCIMA NONA- DA PROPRIEDADE INTELECTUAL</w:t>
      </w:r>
    </w:p>
    <w:p w14:paraId="1890C34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19.1.</w:t>
      </w:r>
      <w:r>
        <w:rPr>
          <w:rFonts w:ascii="Times New Roman" w:eastAsia="Times New Roman" w:hAnsi="Times New Roman" w:cs="Times New Roman"/>
        </w:rPr>
        <w:t xml:space="preserve"> Caso os projetos realizados pela OSC com recursos públicos provenientes do Termo de Fomento (ou Termo de Colaboração) deem origem a bens passíveis de proteção pelo direito de propriedade intelectual, a exemplo de invenções, modelos de utilidade, desenhos industriais, obras intelectuais, </w:t>
      </w:r>
      <w:r>
        <w:rPr>
          <w:rFonts w:ascii="Times New Roman" w:eastAsia="Times New Roman" w:hAnsi="Times New Roman" w:cs="Times New Roman"/>
        </w:rPr>
        <w:lastRenderedPageBreak/>
        <w:t>cultivares, direitos autorais, programas de computador e outros tipos de criação, a OSC terá a titularidade da propriedade intelectual e a participação nos ganhos econômicos resultantes da exploração dos respectivos bens im</w:t>
      </w:r>
      <w:r>
        <w:rPr>
          <w:rFonts w:ascii="Times New Roman" w:eastAsia="Times New Roman" w:hAnsi="Times New Roman" w:cs="Times New Roman"/>
        </w:rPr>
        <w:t xml:space="preserve">ateriais, os quais ficarão gravados com cláusula de inalienabilidade durante a vigência da parceria. </w:t>
      </w:r>
    </w:p>
    <w:p w14:paraId="04A13858" w14:textId="77777777" w:rsidR="006924CB" w:rsidRDefault="006924CB">
      <w:pPr>
        <w:jc w:val="both"/>
        <w:rPr>
          <w:rFonts w:ascii="Times New Roman" w:eastAsia="Times New Roman" w:hAnsi="Times New Roman" w:cs="Times New Roman"/>
        </w:rPr>
      </w:pPr>
    </w:p>
    <w:p w14:paraId="37FB3381"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19.2.</w:t>
      </w:r>
      <w:r>
        <w:rPr>
          <w:rFonts w:ascii="Times New Roman" w:eastAsia="Times New Roman" w:hAnsi="Times New Roman" w:cs="Times New Roman"/>
        </w:rPr>
        <w:t xml:space="preserve"> Durante a vigência da parceria, os ganhos econômicos auferidos pela OSC na exploração ou licença de uso dos bens passíveis de propriedade intelectual, gerados com os recursos públicos provenientes do Termo de Fomento, deverão ser aplicados no objeto do presente instrumento, sem prejuízo do disposto na Subcláusula seguinte. </w:t>
      </w:r>
    </w:p>
    <w:p w14:paraId="3AF3A3CC" w14:textId="77777777" w:rsidR="006924CB" w:rsidRDefault="006924CB">
      <w:pPr>
        <w:jc w:val="both"/>
        <w:rPr>
          <w:rFonts w:ascii="Times New Roman" w:eastAsia="Times New Roman" w:hAnsi="Times New Roman" w:cs="Times New Roman"/>
        </w:rPr>
      </w:pPr>
    </w:p>
    <w:p w14:paraId="2FDF8AF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19.3.</w:t>
      </w:r>
      <w:r>
        <w:rPr>
          <w:rFonts w:ascii="Times New Roman" w:eastAsia="Times New Roman" w:hAnsi="Times New Roman" w:cs="Times New Roman"/>
        </w:rPr>
        <w:t xml:space="preserve"> A participação nos ganhos econômicos fica assegurada, nos termos da legislação específica, ao inventor, criador ou autor. </w:t>
      </w:r>
    </w:p>
    <w:p w14:paraId="2DE33F56" w14:textId="77777777" w:rsidR="006924CB" w:rsidRDefault="006924CB">
      <w:pPr>
        <w:jc w:val="both"/>
        <w:rPr>
          <w:rFonts w:ascii="Times New Roman" w:eastAsia="Times New Roman" w:hAnsi="Times New Roman" w:cs="Times New Roman"/>
        </w:rPr>
      </w:pPr>
    </w:p>
    <w:p w14:paraId="020187A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19.4.</w:t>
      </w:r>
      <w:r>
        <w:rPr>
          <w:rFonts w:ascii="Times New Roman" w:eastAsia="Times New Roman" w:hAnsi="Times New Roman" w:cs="Times New Roman"/>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 </w:t>
      </w:r>
    </w:p>
    <w:p w14:paraId="0FBE0177" w14:textId="77777777" w:rsidR="006924CB" w:rsidRDefault="006924CB">
      <w:pPr>
        <w:jc w:val="both"/>
        <w:rPr>
          <w:rFonts w:ascii="Times New Roman" w:eastAsia="Times New Roman" w:hAnsi="Times New Roman" w:cs="Times New Roman"/>
        </w:rPr>
      </w:pPr>
    </w:p>
    <w:p w14:paraId="074AE60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19.5.</w:t>
      </w:r>
      <w:r>
        <w:rPr>
          <w:rFonts w:ascii="Times New Roman" w:eastAsia="Times New Roman" w:hAnsi="Times New Roman" w:cs="Times New Roman"/>
        </w:rPr>
        <w:t xml:space="preserve"> Quando da extinção da parceria, os bens remanescentes passíveis de proteção pelo direito de propriedade intelectual poderão ter sua propriedade revertida para o órgão ou entidade pública estadual,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w:t>
      </w:r>
      <w:r>
        <w:rPr>
          <w:rFonts w:ascii="Times New Roman" w:eastAsia="Times New Roman" w:hAnsi="Times New Roman" w:cs="Times New Roman"/>
        </w:rPr>
        <w:t xml:space="preserve"> Administração Pública.</w:t>
      </w:r>
    </w:p>
    <w:p w14:paraId="5F66B8E9" w14:textId="77777777" w:rsidR="006924CB" w:rsidRDefault="006924CB">
      <w:pPr>
        <w:jc w:val="both"/>
        <w:rPr>
          <w:rFonts w:ascii="Times New Roman" w:eastAsia="Times New Roman" w:hAnsi="Times New Roman" w:cs="Times New Roman"/>
        </w:rPr>
      </w:pPr>
    </w:p>
    <w:p w14:paraId="02D0A8D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 xml:space="preserve">19.6. </w:t>
      </w:r>
      <w:r>
        <w:rPr>
          <w:rFonts w:ascii="Times New Roman" w:eastAsia="Times New Roman" w:hAnsi="Times New Roman" w:cs="Times New Roman"/>
        </w:rPr>
        <w:t>A OSC declara, mediante a assinatura deste instrumento, que se responsabiliza integralmente por providenciar, independente de solicitação da Administração Pública, todas as autorizações ou licenças necessárias para que o órgão ou entidade pública estadual utilize, sem ônus, durante o prazo de proteção dos direitos incidentes, em território nacional e estrangeiro, em caráter não exclusivo, os bens submetidos a regime de propriedade intelectual que forem resultado da execução desta parceria, da seguinte forma</w:t>
      </w:r>
      <w:r>
        <w:rPr>
          <w:rFonts w:ascii="Times New Roman" w:eastAsia="Times New Roman" w:hAnsi="Times New Roman" w:cs="Times New Roman"/>
        </w:rPr>
        <w:t xml:space="preserve">: </w:t>
      </w:r>
    </w:p>
    <w:p w14:paraId="19EA5D6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quanto aos direitos de que trata a Lei nº 9.610, de 19 de fevereiro de 1998, por quaisquer modalidades de utilização existentes ou que venham a ser inventadas, inclusive: </w:t>
      </w:r>
    </w:p>
    <w:p w14:paraId="4F0D363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a) a reprodução parcial ou integral; </w:t>
      </w:r>
    </w:p>
    <w:p w14:paraId="48E4F27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b) a edição; </w:t>
      </w:r>
    </w:p>
    <w:p w14:paraId="12373C1E"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c) a adaptação, o arranjo musical e quaisquer outras transformações; </w:t>
      </w:r>
    </w:p>
    <w:p w14:paraId="6C09FFCC"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d) a tradução para qualquer idioma; </w:t>
      </w:r>
    </w:p>
    <w:p w14:paraId="56A71817"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e) a inclusão em fonograma ou produção audiovisual; </w:t>
      </w:r>
    </w:p>
    <w:p w14:paraId="6354023F"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 </w:t>
      </w:r>
    </w:p>
    <w:p w14:paraId="28E7073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w:t>
      </w:r>
      <w:r>
        <w:rPr>
          <w:rFonts w:ascii="Times New Roman" w:eastAsia="Times New Roman" w:hAnsi="Times New Roman" w:cs="Times New Roman"/>
        </w:rPr>
        <w:lastRenderedPageBreak/>
        <w:t xml:space="preserve">emprego de sistemas óticos, fios telefônicos ou não, cabos de qualquer tipo e meios de comunicação similares que venham a ser adotados; exposição de obras de artes plásticas e </w:t>
      </w:r>
      <w:proofErr w:type="spellStart"/>
      <w:r>
        <w:rPr>
          <w:rFonts w:ascii="Times New Roman" w:eastAsia="Times New Roman" w:hAnsi="Times New Roman" w:cs="Times New Roman"/>
        </w:rPr>
        <w:t>figurativas;e</w:t>
      </w:r>
      <w:proofErr w:type="spellEnd"/>
    </w:p>
    <w:p w14:paraId="420C00F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h) a inclusão em base de dados, o armazenamento em computador, a microfilmagem e as demais formas de arquivamento do gênero. </w:t>
      </w:r>
    </w:p>
    <w:p w14:paraId="618E3B4E" w14:textId="77777777" w:rsidR="006924CB" w:rsidRDefault="006924CB">
      <w:pPr>
        <w:jc w:val="both"/>
        <w:rPr>
          <w:rFonts w:ascii="Times New Roman" w:eastAsia="Times New Roman" w:hAnsi="Times New Roman" w:cs="Times New Roman"/>
        </w:rPr>
      </w:pPr>
    </w:p>
    <w:p w14:paraId="2885F9ED"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quanto aos direitos de que trata a Lei nº 9.279, de 14 de maio de 1996, para a exploração de patente de invenção ou de modelo de utilidade e de registro de desenho industrial; </w:t>
      </w:r>
    </w:p>
    <w:p w14:paraId="36D1C3B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III – quanto aos direitos de que trata a Lei nº 9.456, de 25 de abril de 1997, pela utilização da cultivar protegida; e</w:t>
      </w:r>
    </w:p>
    <w:p w14:paraId="284E8D1D"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IV – quanto aos direitos de que trata a Lei nº 9.609, de 19 de fevereiro de 1998, pela utilização de programas de computador. Subcláusula sexta.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w:t>
      </w:r>
      <w:r>
        <w:rPr>
          <w:rFonts w:ascii="Times New Roman" w:eastAsia="Times New Roman" w:hAnsi="Times New Roman" w:cs="Times New Roman"/>
        </w:rPr>
        <w:t xml:space="preserve">ireitos de propriedade intelectual resultantes desta parceria.do ressarcimento do débito apurado, inclusive o protesto, se for o caso. </w:t>
      </w:r>
    </w:p>
    <w:p w14:paraId="68886381" w14:textId="77777777" w:rsidR="006924CB" w:rsidRDefault="006924CB">
      <w:pPr>
        <w:widowControl w:val="0"/>
        <w:spacing w:line="280" w:lineRule="auto"/>
        <w:ind w:right="16"/>
        <w:jc w:val="both"/>
        <w:rPr>
          <w:rFonts w:ascii="Times New Roman" w:eastAsia="Times New Roman" w:hAnsi="Times New Roman" w:cs="Times New Roman"/>
        </w:rPr>
      </w:pPr>
    </w:p>
    <w:p w14:paraId="535E4120"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VIGÉSIMA – DAS HIPÓTESES DE EXTINÇÃO</w:t>
      </w:r>
    </w:p>
    <w:p w14:paraId="61F54CBA"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20.1.</w:t>
      </w:r>
      <w:r>
        <w:rPr>
          <w:rFonts w:ascii="Times New Roman" w:eastAsia="Times New Roman" w:hAnsi="Times New Roman" w:cs="Times New Roman"/>
        </w:rPr>
        <w:t xml:space="preserve"> O presente Termo de Fomento (ou Termo de Colaboração) será extinto: </w:t>
      </w:r>
    </w:p>
    <w:p w14:paraId="1A8D6F3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 por advento do termo final, sem que os partícipes tenham até então firmado aditivo para renová-lo; </w:t>
      </w:r>
    </w:p>
    <w:p w14:paraId="3EEF4254"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 - por consenso, antes do prazo avençado, mediante Termo de Distrato; </w:t>
      </w:r>
    </w:p>
    <w:p w14:paraId="7BD06BB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III - por denúncia de qualquer dos partícipes, se não tiver mais interesse na manutenção da parceria, notificando o parceiro com antecedência mínima de XX dias; </w:t>
      </w:r>
    </w:p>
    <w:p w14:paraId="05C0B468"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IV - por rescisão unilateral da parceria, nas seguintes hipóteses: </w:t>
      </w:r>
    </w:p>
    <w:p w14:paraId="4CD5AF5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a) descumprimento injustificado de cláusula deste instrumento; </w:t>
      </w:r>
    </w:p>
    <w:p w14:paraId="3CB50B07"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b) irregularidade ou inexecução injustificada, ainda que parcial, do objeto, resultados ou metas pactuadas;</w:t>
      </w:r>
    </w:p>
    <w:p w14:paraId="0874E4A3"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c) omissão no dever de prestação de contas anual, nas parcerias com vigência superior a um ano, sem prejuízo do disposto no §2º do art. 70 da Lei nº 13.019, de 2014; </w:t>
      </w:r>
    </w:p>
    <w:p w14:paraId="0773F39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d) violação da legislação aplicável; </w:t>
      </w:r>
    </w:p>
    <w:p w14:paraId="0653DDEB"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e) cometimento de falhas reiteradas na execução; </w:t>
      </w:r>
    </w:p>
    <w:p w14:paraId="5A75247C"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f) malversação de recursos públicos; </w:t>
      </w:r>
    </w:p>
    <w:p w14:paraId="5B059804"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g) constatação de falsidade ou fraude nas informações ou documentos apresentados; </w:t>
      </w:r>
    </w:p>
    <w:p w14:paraId="00A5ABAC"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h) não atendimento às recomendações ou determinações decorrentes da fiscalização; </w:t>
      </w:r>
    </w:p>
    <w:p w14:paraId="6EB78D45"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i) descumprimento das condições que caracterizam a parceira privada como OSC; </w:t>
      </w:r>
    </w:p>
    <w:p w14:paraId="12B37B38"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j) paralisação da execução da parceria, sem justa causa e prévia comunicação à Administração Pública; </w:t>
      </w:r>
    </w:p>
    <w:p w14:paraId="0A8AC89F"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k) quando os recursos depositados em conta corrente específica não forem utilizados no prazo de 365 (trezentos e sessenta e cinco) dias, salvo se houver execução parcial do objeto e desde que previamente justificado pelo gestor da parceria e autorizado pelo Secretário (ou pelo dirigente máximo do órgão);</w:t>
      </w:r>
    </w:p>
    <w:p w14:paraId="093F34DC"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l) atraso superior a 60 (sessenta) dias na liberação das parcelas pactuadas no plano de trabalho; ou </w:t>
      </w:r>
    </w:p>
    <w:p w14:paraId="58DB9F22"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rPr>
        <w:t xml:space="preserve">m) outras hipóteses expressamente previstas na legislação aplicável. </w:t>
      </w:r>
    </w:p>
    <w:p w14:paraId="7C74B291" w14:textId="77777777" w:rsidR="006924CB" w:rsidRDefault="006924CB">
      <w:pPr>
        <w:jc w:val="both"/>
        <w:rPr>
          <w:rFonts w:ascii="Times New Roman" w:eastAsia="Times New Roman" w:hAnsi="Times New Roman" w:cs="Times New Roman"/>
        </w:rPr>
      </w:pPr>
    </w:p>
    <w:p w14:paraId="23F34F00"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20.2.</w:t>
      </w:r>
      <w:r>
        <w:rPr>
          <w:rFonts w:ascii="Times New Roman" w:eastAsia="Times New Roman" w:hAnsi="Times New Roman" w:cs="Times New Roman"/>
        </w:rPr>
        <w:t xml:space="preserve"> A denúncia só será eficaz 60 (sessenta) dias após a data de recebimento da notificação, ficando os partícipes responsáveis somente pelas obrigações e vantagens do tempo em que participaram voluntariamente da avença. </w:t>
      </w:r>
    </w:p>
    <w:p w14:paraId="482A833F" w14:textId="77777777" w:rsidR="006924CB" w:rsidRDefault="006924CB">
      <w:pPr>
        <w:jc w:val="both"/>
        <w:rPr>
          <w:rFonts w:ascii="Times New Roman" w:eastAsia="Times New Roman" w:hAnsi="Times New Roman" w:cs="Times New Roman"/>
        </w:rPr>
      </w:pPr>
    </w:p>
    <w:p w14:paraId="21F9F655"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20.3.</w:t>
      </w:r>
      <w:r>
        <w:rPr>
          <w:rFonts w:ascii="Times New Roman" w:eastAsia="Times New Roman" w:hAnsi="Times New Roman" w:cs="Times New Roman"/>
        </w:rPr>
        <w:t xml:space="preserve"> Em caso de denúncia ou rescisão unilateral por parte da Administração Pública, que não decorra de culpa, dolo ou má gestão da OSC, o Poder Público ressarcirá a parceira privada dos danos emergentes comprovados que houver sofrido. </w:t>
      </w:r>
    </w:p>
    <w:p w14:paraId="0D6BEAAE" w14:textId="77777777" w:rsidR="006924CB" w:rsidRDefault="006924CB">
      <w:pPr>
        <w:jc w:val="both"/>
        <w:rPr>
          <w:rFonts w:ascii="Times New Roman" w:eastAsia="Times New Roman" w:hAnsi="Times New Roman" w:cs="Times New Roman"/>
        </w:rPr>
      </w:pPr>
    </w:p>
    <w:p w14:paraId="0016D9D9"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20.4.</w:t>
      </w:r>
      <w:r>
        <w:rPr>
          <w:rFonts w:ascii="Times New Roman" w:eastAsia="Times New Roman" w:hAnsi="Times New Roman" w:cs="Times New Roman"/>
        </w:rPr>
        <w:t xml:space="preserve"> Em caso de denúncia ou rescisão unilateral por culpa, dolo ou má gestão por parte da OSC, devidamente comprovada, a organização da sociedade civil não terá direito a qualquer indenização. </w:t>
      </w:r>
    </w:p>
    <w:p w14:paraId="07B01BFF" w14:textId="77777777" w:rsidR="006924CB" w:rsidRDefault="006924CB">
      <w:pPr>
        <w:jc w:val="both"/>
        <w:rPr>
          <w:rFonts w:ascii="Times New Roman" w:eastAsia="Times New Roman" w:hAnsi="Times New Roman" w:cs="Times New Roman"/>
        </w:rPr>
      </w:pPr>
    </w:p>
    <w:p w14:paraId="0A2EC807" w14:textId="77777777" w:rsidR="006924CB" w:rsidRDefault="002933D0">
      <w:pPr>
        <w:jc w:val="both"/>
        <w:rPr>
          <w:rFonts w:ascii="Times New Roman" w:eastAsia="Times New Roman" w:hAnsi="Times New Roman" w:cs="Times New Roman"/>
        </w:rPr>
      </w:pPr>
      <w:r>
        <w:rPr>
          <w:rFonts w:ascii="Times New Roman" w:eastAsia="Times New Roman" w:hAnsi="Times New Roman" w:cs="Times New Roman"/>
          <w:b/>
        </w:rPr>
        <w:t>20.5.</w:t>
      </w:r>
      <w:r>
        <w:rPr>
          <w:rFonts w:ascii="Times New Roman" w:eastAsia="Times New Roman" w:hAnsi="Times New Roman" w:cs="Times New Roman"/>
        </w:rPr>
        <w:t xml:space="preserve"> Os casos de rescisão unilateral serão formalmente motivados nos autos do processo administrativo, assegurado o contraditório e a ampla defesa. O prazo de defesa será de 10 (dez) dias da abertura de vista do processo. </w:t>
      </w:r>
    </w:p>
    <w:p w14:paraId="3FBC7321" w14:textId="77777777" w:rsidR="006924CB" w:rsidRDefault="006924CB">
      <w:pPr>
        <w:jc w:val="both"/>
        <w:rPr>
          <w:rFonts w:ascii="Times New Roman" w:eastAsia="Times New Roman" w:hAnsi="Times New Roman" w:cs="Times New Roman"/>
        </w:rPr>
      </w:pPr>
    </w:p>
    <w:p w14:paraId="3B997E51" w14:textId="77777777" w:rsidR="006924CB" w:rsidRDefault="002933D0">
      <w:pPr>
        <w:jc w:val="both"/>
        <w:rPr>
          <w:rFonts w:ascii="Times New Roman" w:eastAsia="Times New Roman" w:hAnsi="Times New Roman" w:cs="Times New Roman"/>
          <w:b/>
        </w:rPr>
      </w:pPr>
      <w:r>
        <w:rPr>
          <w:rFonts w:ascii="Times New Roman" w:eastAsia="Times New Roman" w:hAnsi="Times New Roman" w:cs="Times New Roman"/>
          <w:b/>
        </w:rPr>
        <w:t>20.6.</w:t>
      </w:r>
      <w:r>
        <w:rPr>
          <w:rFonts w:ascii="Times New Roman" w:eastAsia="Times New Roman" w:hAnsi="Times New Roman" w:cs="Times New Roman"/>
        </w:rPr>
        <w:t xml:space="preserve"> Outras situações relativas à extinção da parceria não previstas na legislação aplicável ou neste instrumento poderão ser reguladas em Termo de Encerramento da Parceria a ser negociado entre os partícipes ou, se for o caso, no Termo de Distrato. </w:t>
      </w:r>
    </w:p>
    <w:p w14:paraId="0A8FBC13" w14:textId="77777777" w:rsidR="006924CB" w:rsidRDefault="006924CB">
      <w:pPr>
        <w:widowControl w:val="0"/>
        <w:spacing w:line="280" w:lineRule="auto"/>
        <w:ind w:right="16"/>
        <w:jc w:val="both"/>
        <w:rPr>
          <w:rFonts w:ascii="Times New Roman" w:eastAsia="Times New Roman" w:hAnsi="Times New Roman" w:cs="Times New Roman"/>
        </w:rPr>
      </w:pPr>
    </w:p>
    <w:p w14:paraId="472EE5CA"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CLÁUSULA VIGÉSIMA PRIMEIRA– DAS PROIBIÇÕES</w:t>
      </w:r>
      <w:r>
        <w:rPr>
          <w:rFonts w:ascii="Times New Roman" w:eastAsia="Times New Roman" w:hAnsi="Times New Roman" w:cs="Times New Roman"/>
        </w:rPr>
        <w:t xml:space="preserve"> </w:t>
      </w:r>
    </w:p>
    <w:p w14:paraId="6D325BC2"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21.1</w:t>
      </w:r>
      <w:r>
        <w:rPr>
          <w:rFonts w:ascii="Times New Roman" w:eastAsia="Times New Roman" w:hAnsi="Times New Roman" w:cs="Times New Roman"/>
        </w:rPr>
        <w:t xml:space="preserve"> É vedada a utilização dos recursos previstos neste instrumento que prevejam ou permitam:</w:t>
      </w:r>
    </w:p>
    <w:p w14:paraId="3FF71877" w14:textId="77777777" w:rsidR="006924CB" w:rsidRDefault="002933D0" w:rsidP="00FE1ADF">
      <w:pPr>
        <w:widowControl w:val="0"/>
        <w:numPr>
          <w:ilvl w:val="0"/>
          <w:numId w:val="2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 realização de despesas a título de taxa de administração, de gerenciamento ou similar;</w:t>
      </w:r>
    </w:p>
    <w:p w14:paraId="057251CB" w14:textId="77777777" w:rsidR="006924CB" w:rsidRDefault="002933D0" w:rsidP="00FE1ADF">
      <w:pPr>
        <w:widowControl w:val="0"/>
        <w:numPr>
          <w:ilvl w:val="0"/>
          <w:numId w:val="2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O pagamento de gratificação, consultoria, assistência técnica ou qualquer espécie de remuneração adicional a servidor que pertença a órgãos ou entidades da administração pública estadual, federal ou municipal, ou que seja lotado em qualquer dos entes partícipes, com recursos vinculados à parceria, salvo nas hipóteses previstas em lei específica e na lei de diretrizes orçamentárias, conforme artigo 37 da Instrução Normativa Conjunta SEPLAN/SEFAZ/CGE nº 001/2016;</w:t>
      </w:r>
    </w:p>
    <w:p w14:paraId="0DB893F1" w14:textId="77777777" w:rsidR="006924CB" w:rsidRDefault="002933D0" w:rsidP="00FE1ADF">
      <w:pPr>
        <w:widowControl w:val="0"/>
        <w:numPr>
          <w:ilvl w:val="0"/>
          <w:numId w:val="2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O aditamento do presente Termo de Fomento para alteração do objeto pactuado;</w:t>
      </w:r>
    </w:p>
    <w:p w14:paraId="7D104B0E" w14:textId="77777777" w:rsidR="006924CB" w:rsidRDefault="002933D0" w:rsidP="00FE1ADF">
      <w:pPr>
        <w:widowControl w:val="0"/>
        <w:numPr>
          <w:ilvl w:val="0"/>
          <w:numId w:val="2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 realização de despesas em data anterior ou posterior à sua vigência;</w:t>
      </w:r>
    </w:p>
    <w:p w14:paraId="751C555D" w14:textId="77777777" w:rsidR="006924CB" w:rsidRDefault="002933D0" w:rsidP="00FE1ADF">
      <w:pPr>
        <w:widowControl w:val="0"/>
        <w:numPr>
          <w:ilvl w:val="0"/>
          <w:numId w:val="2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O pagamento em data posterior à vigência do instrumento, salvo se expressamente autorizado pela autoridade competente e desde que o fato gerador da despesa tenha ocorrido durante a vigência do instrumento pactuado, bem como não implique atraso da apresentação da prestação de contas final;</w:t>
      </w:r>
    </w:p>
    <w:p w14:paraId="5B03C599" w14:textId="77777777" w:rsidR="006924CB" w:rsidRDefault="002933D0" w:rsidP="00FE1ADF">
      <w:pPr>
        <w:widowControl w:val="0"/>
        <w:numPr>
          <w:ilvl w:val="0"/>
          <w:numId w:val="24"/>
        </w:numPr>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A atribuição de vigência ou efeitos financeiros retroativos;</w:t>
      </w:r>
    </w:p>
    <w:p w14:paraId="3AC05F51" w14:textId="77777777" w:rsidR="006924CB" w:rsidRDefault="006924CB">
      <w:pPr>
        <w:widowControl w:val="0"/>
        <w:spacing w:line="280" w:lineRule="auto"/>
        <w:ind w:left="720" w:right="16"/>
        <w:jc w:val="both"/>
        <w:rPr>
          <w:rFonts w:ascii="Times New Roman" w:eastAsia="Times New Roman" w:hAnsi="Times New Roman" w:cs="Times New Roman"/>
        </w:rPr>
      </w:pPr>
    </w:p>
    <w:p w14:paraId="01156D03" w14:textId="77777777" w:rsidR="006924CB" w:rsidRDefault="002933D0">
      <w:pPr>
        <w:widowControl w:val="0"/>
        <w:spacing w:line="280" w:lineRule="auto"/>
        <w:ind w:right="16"/>
        <w:jc w:val="both"/>
        <w:rPr>
          <w:rFonts w:ascii="Times New Roman" w:eastAsia="Times New Roman" w:hAnsi="Times New Roman" w:cs="Times New Roman"/>
          <w:b/>
        </w:rPr>
      </w:pPr>
      <w:r>
        <w:rPr>
          <w:rFonts w:ascii="Times New Roman" w:eastAsia="Times New Roman" w:hAnsi="Times New Roman" w:cs="Times New Roman"/>
          <w:b/>
        </w:rPr>
        <w:t>CLÁUSULA VIGÉSIMA SEGUNDA – DO FORO</w:t>
      </w:r>
    </w:p>
    <w:p w14:paraId="2E03C39D"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b/>
        </w:rPr>
        <w:t>22.1</w:t>
      </w:r>
      <w:r>
        <w:rPr>
          <w:rFonts w:ascii="Times New Roman" w:eastAsia="Times New Roman" w:hAnsi="Times New Roman" w:cs="Times New Roman"/>
        </w:rPr>
        <w:t xml:space="preserve"> Fica eleito o Foro da Comarca de Cuiabá MT com renúncia de qualquer outro por mais privilegiado que seja para dirimir toda e qualquer dúvida quanto à execução deste Termo de Fomento, estabelecendo a obrigatoriedade da prévia tentativa de solução administrativa com a participação de órgão encarregado de assessoramento jurídico integrante da estrutura da administração pública estadual.</w:t>
      </w:r>
      <w:r>
        <w:rPr>
          <w:rFonts w:ascii="Times New Roman" w:eastAsia="Times New Roman" w:hAnsi="Times New Roman" w:cs="Times New Roman"/>
        </w:rPr>
        <w:br/>
      </w:r>
    </w:p>
    <w:p w14:paraId="6174285D" w14:textId="77777777" w:rsidR="006924CB" w:rsidRDefault="002933D0">
      <w:pPr>
        <w:widowControl w:val="0"/>
        <w:spacing w:line="280" w:lineRule="auto"/>
        <w:ind w:right="16"/>
        <w:jc w:val="both"/>
        <w:rPr>
          <w:rFonts w:ascii="Times New Roman" w:eastAsia="Times New Roman" w:hAnsi="Times New Roman" w:cs="Times New Roman"/>
        </w:rPr>
      </w:pPr>
      <w:r>
        <w:rPr>
          <w:rFonts w:ascii="Times New Roman" w:eastAsia="Times New Roman" w:hAnsi="Times New Roman" w:cs="Times New Roman"/>
        </w:rPr>
        <w:t>E, por estarem assim acordadas, assinam as partes o presente Termo de Fomento em 02 (duas) vias de igual teor e forma, na presença das testemunhas abaixo.</w:t>
      </w:r>
    </w:p>
    <w:p w14:paraId="403D6452" w14:textId="77777777" w:rsidR="006924CB" w:rsidRDefault="006924CB">
      <w:pPr>
        <w:widowControl w:val="0"/>
        <w:spacing w:line="280" w:lineRule="auto"/>
        <w:ind w:right="16"/>
        <w:jc w:val="both"/>
        <w:rPr>
          <w:rFonts w:ascii="Times New Roman" w:eastAsia="Times New Roman" w:hAnsi="Times New Roman" w:cs="Times New Roman"/>
        </w:rPr>
      </w:pPr>
    </w:p>
    <w:p w14:paraId="0E3E6892" w14:textId="77777777" w:rsidR="006924CB" w:rsidRDefault="002933D0">
      <w:pPr>
        <w:widowControl w:val="0"/>
        <w:spacing w:line="280" w:lineRule="auto"/>
        <w:jc w:val="right"/>
        <w:rPr>
          <w:rFonts w:ascii="Times New Roman" w:eastAsia="Times New Roman" w:hAnsi="Times New Roman" w:cs="Times New Roman"/>
        </w:rPr>
      </w:pPr>
      <w:r>
        <w:rPr>
          <w:rFonts w:ascii="Times New Roman" w:eastAsia="Times New Roman" w:hAnsi="Times New Roman" w:cs="Times New Roman"/>
        </w:rPr>
        <w:t>Cuiabá-MT, ____/__/____</w:t>
      </w:r>
    </w:p>
    <w:p w14:paraId="0B3E6728" w14:textId="77777777" w:rsidR="006924CB" w:rsidRDefault="006924CB">
      <w:pPr>
        <w:widowControl w:val="0"/>
        <w:spacing w:line="280" w:lineRule="auto"/>
        <w:ind w:left="2693" w:right="4004"/>
        <w:rPr>
          <w:rFonts w:ascii="Times New Roman" w:eastAsia="Times New Roman" w:hAnsi="Times New Roman" w:cs="Times New Roman"/>
        </w:rPr>
      </w:pPr>
    </w:p>
    <w:p w14:paraId="74083342" w14:textId="77777777" w:rsidR="006924CB" w:rsidRDefault="002933D0">
      <w:pPr>
        <w:widowControl w:val="0"/>
        <w:spacing w:line="280" w:lineRule="auto"/>
        <w:ind w:right="-1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 xml:space="preserve">CONCEDENTE </w:t>
      </w:r>
    </w:p>
    <w:p w14:paraId="79A360FC" w14:textId="77777777" w:rsidR="006924CB" w:rsidRDefault="002933D0">
      <w:pPr>
        <w:widowControl w:val="0"/>
        <w:spacing w:line="280" w:lineRule="auto"/>
        <w:ind w:right="-19"/>
        <w:jc w:val="center"/>
        <w:rPr>
          <w:rFonts w:ascii="Times New Roman" w:eastAsia="Times New Roman" w:hAnsi="Times New Roman" w:cs="Times New Roman"/>
          <w:b/>
        </w:rPr>
      </w:pPr>
      <w:r>
        <w:rPr>
          <w:rFonts w:ascii="Times New Roman" w:eastAsia="Times New Roman" w:hAnsi="Times New Roman" w:cs="Times New Roman"/>
          <w:b/>
        </w:rPr>
        <w:t>(ou PROPONENTE- em caso de Termo de Colaboração)</w:t>
      </w:r>
    </w:p>
    <w:p w14:paraId="0BCCA70D" w14:textId="77777777" w:rsidR="006924CB" w:rsidRDefault="006924CB">
      <w:pPr>
        <w:widowControl w:val="0"/>
        <w:spacing w:line="280" w:lineRule="auto"/>
        <w:rPr>
          <w:rFonts w:ascii="Times New Roman" w:eastAsia="Times New Roman" w:hAnsi="Times New Roman" w:cs="Times New Roman"/>
        </w:rPr>
      </w:pPr>
    </w:p>
    <w:p w14:paraId="453148CE" w14:textId="77777777" w:rsidR="006924CB" w:rsidRDefault="006924CB">
      <w:pPr>
        <w:widowControl w:val="0"/>
        <w:spacing w:line="280" w:lineRule="auto"/>
        <w:ind w:left="2688" w:right="4004"/>
        <w:jc w:val="center"/>
        <w:rPr>
          <w:rFonts w:ascii="Times New Roman" w:eastAsia="Times New Roman" w:hAnsi="Times New Roman" w:cs="Times New Roman"/>
        </w:rPr>
      </w:pPr>
    </w:p>
    <w:p w14:paraId="0EC2F1B0" w14:textId="77777777" w:rsidR="006924CB" w:rsidRDefault="002933D0">
      <w:pPr>
        <w:widowControl w:val="0"/>
        <w:spacing w:line="280" w:lineRule="auto"/>
        <w:ind w:right="-19"/>
        <w:jc w:val="center"/>
        <w:rPr>
          <w:rFonts w:ascii="Times New Roman" w:eastAsia="Times New Roman" w:hAnsi="Times New Roman" w:cs="Times New Roman"/>
          <w:b/>
        </w:rPr>
      </w:pPr>
      <w:r>
        <w:rPr>
          <w:rFonts w:ascii="Times New Roman" w:eastAsia="Times New Roman" w:hAnsi="Times New Roman" w:cs="Times New Roman"/>
          <w:b/>
        </w:rPr>
        <w:t xml:space="preserve">PROPONENTE </w:t>
      </w:r>
    </w:p>
    <w:p w14:paraId="67BEA129" w14:textId="77777777" w:rsidR="006924CB" w:rsidRDefault="002933D0">
      <w:pPr>
        <w:widowControl w:val="0"/>
        <w:spacing w:line="280" w:lineRule="auto"/>
        <w:ind w:right="-19"/>
        <w:jc w:val="center"/>
        <w:rPr>
          <w:rFonts w:ascii="Times New Roman" w:eastAsia="Times New Roman" w:hAnsi="Times New Roman" w:cs="Times New Roman"/>
          <w:b/>
        </w:rPr>
      </w:pPr>
      <w:r>
        <w:rPr>
          <w:rFonts w:ascii="Times New Roman" w:eastAsia="Times New Roman" w:hAnsi="Times New Roman" w:cs="Times New Roman"/>
          <w:b/>
        </w:rPr>
        <w:t>(ou EXECUTORA- em caso de Termo de Colaboração)</w:t>
      </w:r>
    </w:p>
    <w:p w14:paraId="173992E4" w14:textId="77777777" w:rsidR="006924CB" w:rsidRDefault="006924CB">
      <w:pPr>
        <w:widowControl w:val="0"/>
        <w:spacing w:line="280" w:lineRule="auto"/>
        <w:ind w:left="2688" w:right="4004"/>
        <w:jc w:val="center"/>
        <w:rPr>
          <w:rFonts w:ascii="Times New Roman" w:eastAsia="Times New Roman" w:hAnsi="Times New Roman" w:cs="Times New Roman"/>
        </w:rPr>
      </w:pPr>
    </w:p>
    <w:p w14:paraId="16C4E503" w14:textId="77777777" w:rsidR="006924CB" w:rsidRDefault="006924CB">
      <w:pPr>
        <w:widowControl w:val="0"/>
        <w:spacing w:line="280" w:lineRule="auto"/>
        <w:ind w:left="2688" w:right="4004"/>
        <w:jc w:val="center"/>
        <w:rPr>
          <w:rFonts w:ascii="Times New Roman" w:eastAsia="Times New Roman" w:hAnsi="Times New Roman" w:cs="Times New Roman"/>
        </w:rPr>
      </w:pPr>
    </w:p>
    <w:p w14:paraId="1A924FB3" w14:textId="77777777" w:rsidR="006924CB" w:rsidRDefault="002933D0">
      <w:pPr>
        <w:widowControl w:val="0"/>
        <w:spacing w:line="280" w:lineRule="auto"/>
        <w:rPr>
          <w:rFonts w:ascii="Times New Roman" w:eastAsia="Times New Roman" w:hAnsi="Times New Roman" w:cs="Times New Roman"/>
          <w:b/>
        </w:rPr>
      </w:pPr>
      <w:r>
        <w:rPr>
          <w:rFonts w:ascii="Times New Roman" w:eastAsia="Times New Roman" w:hAnsi="Times New Roman" w:cs="Times New Roman"/>
          <w:b/>
        </w:rPr>
        <w:t>TESTEMUNHAS:</w:t>
      </w:r>
    </w:p>
    <w:p w14:paraId="7A0854EC" w14:textId="77777777" w:rsidR="006924CB" w:rsidRDefault="002933D0">
      <w:pPr>
        <w:widowControl w:val="0"/>
        <w:tabs>
          <w:tab w:val="left" w:pos="4044"/>
        </w:tabs>
        <w:spacing w:line="280" w:lineRule="auto"/>
        <w:rPr>
          <w:rFonts w:ascii="Times New Roman" w:eastAsia="Times New Roman" w:hAnsi="Times New Roman" w:cs="Times New Roman"/>
          <w:b/>
        </w:rPr>
      </w:pPr>
      <w:r>
        <w:rPr>
          <w:rFonts w:ascii="Times New Roman" w:eastAsia="Times New Roman" w:hAnsi="Times New Roman" w:cs="Times New Roman"/>
          <w:b/>
        </w:rPr>
        <w:t>NOME:</w:t>
      </w:r>
      <w:r>
        <w:rPr>
          <w:rFonts w:ascii="Times New Roman" w:eastAsia="Times New Roman" w:hAnsi="Times New Roman" w:cs="Times New Roman"/>
          <w:b/>
        </w:rPr>
        <w:tab/>
        <w:t>NOME:</w:t>
      </w:r>
    </w:p>
    <w:p w14:paraId="2CAEEC34" w14:textId="77777777" w:rsidR="006924CB" w:rsidRDefault="002933D0">
      <w:pPr>
        <w:widowControl w:val="0"/>
        <w:tabs>
          <w:tab w:val="left" w:pos="3982"/>
        </w:tabs>
        <w:spacing w:line="280" w:lineRule="auto"/>
        <w:rPr>
          <w:rFonts w:ascii="Times New Roman" w:eastAsia="Times New Roman" w:hAnsi="Times New Roman" w:cs="Times New Roman"/>
          <w:b/>
        </w:rPr>
      </w:pPr>
      <w:r>
        <w:rPr>
          <w:rFonts w:ascii="Times New Roman" w:eastAsia="Times New Roman" w:hAnsi="Times New Roman" w:cs="Times New Roman"/>
          <w:b/>
        </w:rPr>
        <w:t>CPF:</w:t>
      </w:r>
      <w:r>
        <w:rPr>
          <w:rFonts w:ascii="Times New Roman" w:eastAsia="Times New Roman" w:hAnsi="Times New Roman" w:cs="Times New Roman"/>
          <w:b/>
        </w:rPr>
        <w:tab/>
        <w:t>CPF:</w:t>
      </w:r>
    </w:p>
    <w:sectPr w:rsidR="006924CB">
      <w:footerReference w:type="default" r:id="rId7"/>
      <w:pgSz w:w="11909" w:h="16834"/>
      <w:pgMar w:top="2267" w:right="1440" w:bottom="1440" w:left="155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1A215" w14:textId="77777777" w:rsidR="002933D0" w:rsidRDefault="002933D0">
      <w:pPr>
        <w:spacing w:line="240" w:lineRule="auto"/>
      </w:pPr>
      <w:r>
        <w:separator/>
      </w:r>
    </w:p>
  </w:endnote>
  <w:endnote w:type="continuationSeparator" w:id="0">
    <w:p w14:paraId="413A78A8" w14:textId="77777777" w:rsidR="002933D0" w:rsidRDefault="00293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F380" w14:textId="77777777" w:rsidR="006924CB" w:rsidRDefault="006924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56AA" w14:textId="77777777" w:rsidR="002933D0" w:rsidRDefault="002933D0">
      <w:pPr>
        <w:spacing w:line="240" w:lineRule="auto"/>
      </w:pPr>
      <w:r>
        <w:separator/>
      </w:r>
    </w:p>
  </w:footnote>
  <w:footnote w:type="continuationSeparator" w:id="0">
    <w:p w14:paraId="61CF681D" w14:textId="77777777" w:rsidR="002933D0" w:rsidRDefault="002933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CF9"/>
    <w:multiLevelType w:val="multilevel"/>
    <w:tmpl w:val="AA3C3B38"/>
    <w:lvl w:ilvl="0">
      <w:start w:val="1"/>
      <w:numFmt w:val="upperRoman"/>
      <w:lvlText w:val="%1"/>
      <w:lvlJc w:val="left"/>
      <w:pPr>
        <w:ind w:left="1056" w:hanging="116"/>
      </w:pPr>
      <w:rPr>
        <w:u w:val="none"/>
      </w:rPr>
    </w:lvl>
    <w:lvl w:ilvl="1">
      <w:start w:val="1"/>
      <w:numFmt w:val="lowerLetter"/>
      <w:lvlText w:val="%2)"/>
      <w:lvlJc w:val="left"/>
      <w:pPr>
        <w:ind w:left="1266" w:hanging="274"/>
      </w:pPr>
      <w:rPr>
        <w:u w:val="none"/>
      </w:rPr>
    </w:lvl>
    <w:lvl w:ilvl="2">
      <w:numFmt w:val="bullet"/>
      <w:lvlText w:val="•"/>
      <w:lvlJc w:val="left"/>
      <w:pPr>
        <w:ind w:left="2442" w:hanging="274"/>
      </w:pPr>
      <w:rPr>
        <w:u w:val="none"/>
      </w:rPr>
    </w:lvl>
    <w:lvl w:ilvl="3">
      <w:numFmt w:val="bullet"/>
      <w:lvlText w:val="•"/>
      <w:lvlJc w:val="left"/>
      <w:pPr>
        <w:ind w:left="3625" w:hanging="274"/>
      </w:pPr>
      <w:rPr>
        <w:u w:val="none"/>
      </w:rPr>
    </w:lvl>
    <w:lvl w:ilvl="4">
      <w:numFmt w:val="bullet"/>
      <w:lvlText w:val="•"/>
      <w:lvlJc w:val="left"/>
      <w:pPr>
        <w:ind w:left="4808" w:hanging="274"/>
      </w:pPr>
      <w:rPr>
        <w:u w:val="none"/>
      </w:rPr>
    </w:lvl>
    <w:lvl w:ilvl="5">
      <w:numFmt w:val="bullet"/>
      <w:lvlText w:val="•"/>
      <w:lvlJc w:val="left"/>
      <w:pPr>
        <w:ind w:left="5991" w:hanging="274"/>
      </w:pPr>
      <w:rPr>
        <w:u w:val="none"/>
      </w:rPr>
    </w:lvl>
    <w:lvl w:ilvl="6">
      <w:numFmt w:val="bullet"/>
      <w:lvlText w:val="•"/>
      <w:lvlJc w:val="left"/>
      <w:pPr>
        <w:ind w:left="7174" w:hanging="274"/>
      </w:pPr>
      <w:rPr>
        <w:u w:val="none"/>
      </w:rPr>
    </w:lvl>
    <w:lvl w:ilvl="7">
      <w:numFmt w:val="bullet"/>
      <w:lvlText w:val="•"/>
      <w:lvlJc w:val="left"/>
      <w:pPr>
        <w:ind w:left="8357" w:hanging="273"/>
      </w:pPr>
      <w:rPr>
        <w:u w:val="none"/>
      </w:rPr>
    </w:lvl>
    <w:lvl w:ilvl="8">
      <w:numFmt w:val="bullet"/>
      <w:lvlText w:val="•"/>
      <w:lvlJc w:val="left"/>
      <w:pPr>
        <w:ind w:left="9539" w:hanging="274"/>
      </w:pPr>
      <w:rPr>
        <w:u w:val="none"/>
      </w:rPr>
    </w:lvl>
  </w:abstractNum>
  <w:abstractNum w:abstractNumId="1" w15:restartNumberingAfterBreak="0">
    <w:nsid w:val="05454B20"/>
    <w:multiLevelType w:val="multilevel"/>
    <w:tmpl w:val="BC581450"/>
    <w:lvl w:ilvl="0">
      <w:start w:val="1"/>
      <w:numFmt w:val="lowerLetter"/>
      <w:lvlText w:val="%1)"/>
      <w:lvlJc w:val="left"/>
      <w:pPr>
        <w:ind w:left="1841" w:hanging="274"/>
      </w:pPr>
      <w:rPr>
        <w:u w:val="none"/>
      </w:rPr>
    </w:lvl>
    <w:lvl w:ilvl="1">
      <w:numFmt w:val="bullet"/>
      <w:lvlText w:val="•"/>
      <w:lvlJc w:val="left"/>
      <w:pPr>
        <w:ind w:left="2846" w:hanging="273"/>
      </w:pPr>
      <w:rPr>
        <w:u w:val="none"/>
      </w:rPr>
    </w:lvl>
    <w:lvl w:ilvl="2">
      <w:numFmt w:val="bullet"/>
      <w:lvlText w:val="•"/>
      <w:lvlJc w:val="left"/>
      <w:pPr>
        <w:ind w:left="3853" w:hanging="273"/>
      </w:pPr>
      <w:rPr>
        <w:u w:val="none"/>
      </w:rPr>
    </w:lvl>
    <w:lvl w:ilvl="3">
      <w:numFmt w:val="bullet"/>
      <w:lvlText w:val="•"/>
      <w:lvlJc w:val="left"/>
      <w:pPr>
        <w:ind w:left="4859" w:hanging="274"/>
      </w:pPr>
      <w:rPr>
        <w:u w:val="none"/>
      </w:rPr>
    </w:lvl>
    <w:lvl w:ilvl="4">
      <w:numFmt w:val="bullet"/>
      <w:lvlText w:val="•"/>
      <w:lvlJc w:val="left"/>
      <w:pPr>
        <w:ind w:left="5866" w:hanging="274"/>
      </w:pPr>
      <w:rPr>
        <w:u w:val="none"/>
      </w:rPr>
    </w:lvl>
    <w:lvl w:ilvl="5">
      <w:numFmt w:val="bullet"/>
      <w:lvlText w:val="•"/>
      <w:lvlJc w:val="left"/>
      <w:pPr>
        <w:ind w:left="6872" w:hanging="273"/>
      </w:pPr>
      <w:rPr>
        <w:u w:val="none"/>
      </w:rPr>
    </w:lvl>
    <w:lvl w:ilvl="6">
      <w:numFmt w:val="bullet"/>
      <w:lvlText w:val="•"/>
      <w:lvlJc w:val="left"/>
      <w:pPr>
        <w:ind w:left="7879" w:hanging="274"/>
      </w:pPr>
      <w:rPr>
        <w:u w:val="none"/>
      </w:rPr>
    </w:lvl>
    <w:lvl w:ilvl="7">
      <w:numFmt w:val="bullet"/>
      <w:lvlText w:val="•"/>
      <w:lvlJc w:val="left"/>
      <w:pPr>
        <w:ind w:left="8885" w:hanging="274"/>
      </w:pPr>
      <w:rPr>
        <w:u w:val="none"/>
      </w:rPr>
    </w:lvl>
    <w:lvl w:ilvl="8">
      <w:numFmt w:val="bullet"/>
      <w:lvlText w:val="•"/>
      <w:lvlJc w:val="left"/>
      <w:pPr>
        <w:ind w:left="9892" w:hanging="274"/>
      </w:pPr>
      <w:rPr>
        <w:u w:val="none"/>
      </w:rPr>
    </w:lvl>
  </w:abstractNum>
  <w:abstractNum w:abstractNumId="2" w15:restartNumberingAfterBreak="0">
    <w:nsid w:val="0AF47273"/>
    <w:multiLevelType w:val="multilevel"/>
    <w:tmpl w:val="04E65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A16109"/>
    <w:multiLevelType w:val="multilevel"/>
    <w:tmpl w:val="B3D8DC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18F5A77"/>
    <w:multiLevelType w:val="multilevel"/>
    <w:tmpl w:val="BDE0CDE0"/>
    <w:lvl w:ilvl="0">
      <w:start w:val="1"/>
      <w:numFmt w:val="lowerLetter"/>
      <w:lvlText w:val="%1)"/>
      <w:lvlJc w:val="left"/>
      <w:pPr>
        <w:ind w:left="1948" w:hanging="274"/>
      </w:pPr>
      <w:rPr>
        <w:u w:val="none"/>
      </w:rPr>
    </w:lvl>
    <w:lvl w:ilvl="1">
      <w:numFmt w:val="bullet"/>
      <w:lvlText w:val="•"/>
      <w:lvlJc w:val="left"/>
      <w:pPr>
        <w:ind w:left="2936" w:hanging="273"/>
      </w:pPr>
      <w:rPr>
        <w:u w:val="none"/>
      </w:rPr>
    </w:lvl>
    <w:lvl w:ilvl="2">
      <w:numFmt w:val="bullet"/>
      <w:lvlText w:val="•"/>
      <w:lvlJc w:val="left"/>
      <w:pPr>
        <w:ind w:left="3933" w:hanging="273"/>
      </w:pPr>
      <w:rPr>
        <w:u w:val="none"/>
      </w:rPr>
    </w:lvl>
    <w:lvl w:ilvl="3">
      <w:numFmt w:val="bullet"/>
      <w:lvlText w:val="•"/>
      <w:lvlJc w:val="left"/>
      <w:pPr>
        <w:ind w:left="4929" w:hanging="274"/>
      </w:pPr>
      <w:rPr>
        <w:u w:val="none"/>
      </w:rPr>
    </w:lvl>
    <w:lvl w:ilvl="4">
      <w:numFmt w:val="bullet"/>
      <w:lvlText w:val="•"/>
      <w:lvlJc w:val="left"/>
      <w:pPr>
        <w:ind w:left="5926" w:hanging="274"/>
      </w:pPr>
      <w:rPr>
        <w:u w:val="none"/>
      </w:rPr>
    </w:lvl>
    <w:lvl w:ilvl="5">
      <w:numFmt w:val="bullet"/>
      <w:lvlText w:val="•"/>
      <w:lvlJc w:val="left"/>
      <w:pPr>
        <w:ind w:left="6922" w:hanging="273"/>
      </w:pPr>
      <w:rPr>
        <w:u w:val="none"/>
      </w:rPr>
    </w:lvl>
    <w:lvl w:ilvl="6">
      <w:numFmt w:val="bullet"/>
      <w:lvlText w:val="•"/>
      <w:lvlJc w:val="left"/>
      <w:pPr>
        <w:ind w:left="7919" w:hanging="274"/>
      </w:pPr>
      <w:rPr>
        <w:u w:val="none"/>
      </w:rPr>
    </w:lvl>
    <w:lvl w:ilvl="7">
      <w:numFmt w:val="bullet"/>
      <w:lvlText w:val="•"/>
      <w:lvlJc w:val="left"/>
      <w:pPr>
        <w:ind w:left="8915" w:hanging="274"/>
      </w:pPr>
      <w:rPr>
        <w:u w:val="none"/>
      </w:rPr>
    </w:lvl>
    <w:lvl w:ilvl="8">
      <w:numFmt w:val="bullet"/>
      <w:lvlText w:val="•"/>
      <w:lvlJc w:val="left"/>
      <w:pPr>
        <w:ind w:left="9912" w:hanging="274"/>
      </w:pPr>
      <w:rPr>
        <w:u w:val="none"/>
      </w:rPr>
    </w:lvl>
  </w:abstractNum>
  <w:abstractNum w:abstractNumId="5" w15:restartNumberingAfterBreak="0">
    <w:nsid w:val="125C791A"/>
    <w:multiLevelType w:val="multilevel"/>
    <w:tmpl w:val="63CE43B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15A62F5F"/>
    <w:multiLevelType w:val="multilevel"/>
    <w:tmpl w:val="2C24EE42"/>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180"/>
      </w:pPr>
      <w:rPr>
        <w:u w:val="none"/>
      </w:rPr>
    </w:lvl>
  </w:abstractNum>
  <w:abstractNum w:abstractNumId="7" w15:restartNumberingAfterBreak="0">
    <w:nsid w:val="17524A8E"/>
    <w:multiLevelType w:val="multilevel"/>
    <w:tmpl w:val="FE9EB4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77C2321"/>
    <w:multiLevelType w:val="multilevel"/>
    <w:tmpl w:val="D7022528"/>
    <w:lvl w:ilvl="0">
      <w:start w:val="1"/>
      <w:numFmt w:val="lowerLetter"/>
      <w:lvlText w:val="%1)"/>
      <w:lvlJc w:val="left"/>
      <w:pPr>
        <w:ind w:left="1992" w:hanging="274"/>
      </w:pPr>
      <w:rPr>
        <w:u w:val="none"/>
      </w:rPr>
    </w:lvl>
    <w:lvl w:ilvl="1">
      <w:numFmt w:val="bullet"/>
      <w:lvlText w:val="•"/>
      <w:lvlJc w:val="left"/>
      <w:pPr>
        <w:ind w:left="2990" w:hanging="274"/>
      </w:pPr>
      <w:rPr>
        <w:u w:val="none"/>
      </w:rPr>
    </w:lvl>
    <w:lvl w:ilvl="2">
      <w:numFmt w:val="bullet"/>
      <w:lvlText w:val="•"/>
      <w:lvlJc w:val="left"/>
      <w:pPr>
        <w:ind w:left="3981" w:hanging="273"/>
      </w:pPr>
      <w:rPr>
        <w:u w:val="none"/>
      </w:rPr>
    </w:lvl>
    <w:lvl w:ilvl="3">
      <w:numFmt w:val="bullet"/>
      <w:lvlText w:val="•"/>
      <w:lvlJc w:val="left"/>
      <w:pPr>
        <w:ind w:left="4971" w:hanging="274"/>
      </w:pPr>
      <w:rPr>
        <w:u w:val="none"/>
      </w:rPr>
    </w:lvl>
    <w:lvl w:ilvl="4">
      <w:numFmt w:val="bullet"/>
      <w:lvlText w:val="•"/>
      <w:lvlJc w:val="left"/>
      <w:pPr>
        <w:ind w:left="5962" w:hanging="273"/>
      </w:pPr>
      <w:rPr>
        <w:u w:val="none"/>
      </w:rPr>
    </w:lvl>
    <w:lvl w:ilvl="5">
      <w:numFmt w:val="bullet"/>
      <w:lvlText w:val="•"/>
      <w:lvlJc w:val="left"/>
      <w:pPr>
        <w:ind w:left="6952" w:hanging="273"/>
      </w:pPr>
      <w:rPr>
        <w:u w:val="none"/>
      </w:rPr>
    </w:lvl>
    <w:lvl w:ilvl="6">
      <w:numFmt w:val="bullet"/>
      <w:lvlText w:val="•"/>
      <w:lvlJc w:val="left"/>
      <w:pPr>
        <w:ind w:left="7943" w:hanging="274"/>
      </w:pPr>
      <w:rPr>
        <w:u w:val="none"/>
      </w:rPr>
    </w:lvl>
    <w:lvl w:ilvl="7">
      <w:numFmt w:val="bullet"/>
      <w:lvlText w:val="•"/>
      <w:lvlJc w:val="left"/>
      <w:pPr>
        <w:ind w:left="8933" w:hanging="274"/>
      </w:pPr>
      <w:rPr>
        <w:u w:val="none"/>
      </w:rPr>
    </w:lvl>
    <w:lvl w:ilvl="8">
      <w:numFmt w:val="bullet"/>
      <w:lvlText w:val="•"/>
      <w:lvlJc w:val="left"/>
      <w:pPr>
        <w:ind w:left="9924" w:hanging="274"/>
      </w:pPr>
      <w:rPr>
        <w:u w:val="none"/>
      </w:rPr>
    </w:lvl>
  </w:abstractNum>
  <w:abstractNum w:abstractNumId="9" w15:restartNumberingAfterBreak="0">
    <w:nsid w:val="181D4D2A"/>
    <w:multiLevelType w:val="multilevel"/>
    <w:tmpl w:val="F5DA52A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10" w15:restartNumberingAfterBreak="0">
    <w:nsid w:val="1F4A154E"/>
    <w:multiLevelType w:val="multilevel"/>
    <w:tmpl w:val="F63E2B78"/>
    <w:lvl w:ilvl="0">
      <w:start w:val="1"/>
      <w:numFmt w:val="lowerLetter"/>
      <w:lvlText w:val="%1)"/>
      <w:lvlJc w:val="left"/>
      <w:pPr>
        <w:ind w:left="7437" w:hanging="273"/>
      </w:pPr>
      <w:rPr>
        <w:u w:val="none"/>
      </w:rPr>
    </w:lvl>
    <w:lvl w:ilvl="1">
      <w:numFmt w:val="bullet"/>
      <w:lvlText w:val="•"/>
      <w:lvlJc w:val="left"/>
      <w:pPr>
        <w:ind w:left="7886" w:hanging="274"/>
      </w:pPr>
      <w:rPr>
        <w:u w:val="none"/>
      </w:rPr>
    </w:lvl>
    <w:lvl w:ilvl="2">
      <w:numFmt w:val="bullet"/>
      <w:lvlText w:val="•"/>
      <w:lvlJc w:val="left"/>
      <w:pPr>
        <w:ind w:left="8333" w:hanging="274"/>
      </w:pPr>
      <w:rPr>
        <w:u w:val="none"/>
      </w:rPr>
    </w:lvl>
    <w:lvl w:ilvl="3">
      <w:numFmt w:val="bullet"/>
      <w:lvlText w:val="•"/>
      <w:lvlJc w:val="left"/>
      <w:pPr>
        <w:ind w:left="8779" w:hanging="274"/>
      </w:pPr>
      <w:rPr>
        <w:u w:val="none"/>
      </w:rPr>
    </w:lvl>
    <w:lvl w:ilvl="4">
      <w:numFmt w:val="bullet"/>
      <w:lvlText w:val="•"/>
      <w:lvlJc w:val="left"/>
      <w:pPr>
        <w:ind w:left="9226" w:hanging="274"/>
      </w:pPr>
      <w:rPr>
        <w:u w:val="none"/>
      </w:rPr>
    </w:lvl>
    <w:lvl w:ilvl="5">
      <w:numFmt w:val="bullet"/>
      <w:lvlText w:val="•"/>
      <w:lvlJc w:val="left"/>
      <w:pPr>
        <w:ind w:left="9672" w:hanging="274"/>
      </w:pPr>
      <w:rPr>
        <w:u w:val="none"/>
      </w:rPr>
    </w:lvl>
    <w:lvl w:ilvl="6">
      <w:numFmt w:val="bullet"/>
      <w:lvlText w:val="•"/>
      <w:lvlJc w:val="left"/>
      <w:pPr>
        <w:ind w:left="10119" w:hanging="274"/>
      </w:pPr>
      <w:rPr>
        <w:u w:val="none"/>
      </w:rPr>
    </w:lvl>
    <w:lvl w:ilvl="7">
      <w:numFmt w:val="bullet"/>
      <w:lvlText w:val="•"/>
      <w:lvlJc w:val="left"/>
      <w:pPr>
        <w:ind w:left="10565" w:hanging="274"/>
      </w:pPr>
      <w:rPr>
        <w:u w:val="none"/>
      </w:rPr>
    </w:lvl>
    <w:lvl w:ilvl="8">
      <w:numFmt w:val="bullet"/>
      <w:lvlText w:val="•"/>
      <w:lvlJc w:val="left"/>
      <w:pPr>
        <w:ind w:left="11012" w:hanging="274"/>
      </w:pPr>
      <w:rPr>
        <w:u w:val="none"/>
      </w:rPr>
    </w:lvl>
  </w:abstractNum>
  <w:abstractNum w:abstractNumId="11" w15:restartNumberingAfterBreak="0">
    <w:nsid w:val="30E1561D"/>
    <w:multiLevelType w:val="multilevel"/>
    <w:tmpl w:val="9B14BC78"/>
    <w:lvl w:ilvl="0">
      <w:start w:val="1"/>
      <w:numFmt w:val="lowerLetter"/>
      <w:lvlText w:val="%1)"/>
      <w:lvlJc w:val="left"/>
      <w:pPr>
        <w:ind w:left="1876" w:hanging="360"/>
      </w:pPr>
      <w:rPr>
        <w:u w:val="none"/>
      </w:rPr>
    </w:lvl>
    <w:lvl w:ilvl="1">
      <w:start w:val="1"/>
      <w:numFmt w:val="lowerLetter"/>
      <w:lvlText w:val="%2."/>
      <w:lvlJc w:val="left"/>
      <w:pPr>
        <w:ind w:left="2596" w:hanging="360"/>
      </w:pPr>
      <w:rPr>
        <w:u w:val="none"/>
      </w:rPr>
    </w:lvl>
    <w:lvl w:ilvl="2">
      <w:start w:val="1"/>
      <w:numFmt w:val="lowerRoman"/>
      <w:lvlText w:val="%3."/>
      <w:lvlJc w:val="right"/>
      <w:pPr>
        <w:ind w:left="3316" w:hanging="180"/>
      </w:pPr>
      <w:rPr>
        <w:u w:val="none"/>
      </w:rPr>
    </w:lvl>
    <w:lvl w:ilvl="3">
      <w:start w:val="1"/>
      <w:numFmt w:val="decimal"/>
      <w:lvlText w:val="%4."/>
      <w:lvlJc w:val="left"/>
      <w:pPr>
        <w:ind w:left="4036" w:hanging="360"/>
      </w:pPr>
      <w:rPr>
        <w:u w:val="none"/>
      </w:rPr>
    </w:lvl>
    <w:lvl w:ilvl="4">
      <w:start w:val="1"/>
      <w:numFmt w:val="lowerLetter"/>
      <w:lvlText w:val="%5."/>
      <w:lvlJc w:val="left"/>
      <w:pPr>
        <w:ind w:left="4756" w:hanging="360"/>
      </w:pPr>
      <w:rPr>
        <w:u w:val="none"/>
      </w:rPr>
    </w:lvl>
    <w:lvl w:ilvl="5">
      <w:start w:val="1"/>
      <w:numFmt w:val="lowerRoman"/>
      <w:lvlText w:val="%6."/>
      <w:lvlJc w:val="right"/>
      <w:pPr>
        <w:ind w:left="5476" w:hanging="180"/>
      </w:pPr>
      <w:rPr>
        <w:u w:val="none"/>
      </w:rPr>
    </w:lvl>
    <w:lvl w:ilvl="6">
      <w:start w:val="1"/>
      <w:numFmt w:val="decimal"/>
      <w:lvlText w:val="%7."/>
      <w:lvlJc w:val="left"/>
      <w:pPr>
        <w:ind w:left="6196" w:hanging="360"/>
      </w:pPr>
      <w:rPr>
        <w:u w:val="none"/>
      </w:rPr>
    </w:lvl>
    <w:lvl w:ilvl="7">
      <w:start w:val="1"/>
      <w:numFmt w:val="lowerLetter"/>
      <w:lvlText w:val="%8."/>
      <w:lvlJc w:val="left"/>
      <w:pPr>
        <w:ind w:left="6916" w:hanging="360"/>
      </w:pPr>
      <w:rPr>
        <w:u w:val="none"/>
      </w:rPr>
    </w:lvl>
    <w:lvl w:ilvl="8">
      <w:start w:val="1"/>
      <w:numFmt w:val="lowerRoman"/>
      <w:lvlText w:val="%9."/>
      <w:lvlJc w:val="right"/>
      <w:pPr>
        <w:ind w:left="7636" w:hanging="180"/>
      </w:pPr>
      <w:rPr>
        <w:u w:val="none"/>
      </w:rPr>
    </w:lvl>
  </w:abstractNum>
  <w:abstractNum w:abstractNumId="12" w15:restartNumberingAfterBreak="0">
    <w:nsid w:val="336B3E6D"/>
    <w:multiLevelType w:val="multilevel"/>
    <w:tmpl w:val="3F72483A"/>
    <w:lvl w:ilvl="0">
      <w:start w:val="1"/>
      <w:numFmt w:val="upperRoman"/>
      <w:lvlText w:val="%1"/>
      <w:lvlJc w:val="left"/>
      <w:pPr>
        <w:ind w:left="1056" w:hanging="116"/>
      </w:pPr>
      <w:rPr>
        <w:u w:val="none"/>
      </w:rPr>
    </w:lvl>
    <w:lvl w:ilvl="1">
      <w:start w:val="1"/>
      <w:numFmt w:val="lowerLetter"/>
      <w:lvlText w:val="%2)"/>
      <w:lvlJc w:val="left"/>
      <w:pPr>
        <w:ind w:left="1182" w:hanging="242"/>
      </w:pPr>
      <w:rPr>
        <w:u w:val="none"/>
      </w:rPr>
    </w:lvl>
    <w:lvl w:ilvl="2">
      <w:numFmt w:val="bullet"/>
      <w:lvlText w:val="•"/>
      <w:lvlJc w:val="left"/>
      <w:pPr>
        <w:ind w:left="2371" w:hanging="242"/>
      </w:pPr>
      <w:rPr>
        <w:u w:val="none"/>
      </w:rPr>
    </w:lvl>
    <w:lvl w:ilvl="3">
      <w:numFmt w:val="bullet"/>
      <w:lvlText w:val="•"/>
      <w:lvlJc w:val="left"/>
      <w:pPr>
        <w:ind w:left="3563" w:hanging="242"/>
      </w:pPr>
      <w:rPr>
        <w:u w:val="none"/>
      </w:rPr>
    </w:lvl>
    <w:lvl w:ilvl="4">
      <w:numFmt w:val="bullet"/>
      <w:lvlText w:val="•"/>
      <w:lvlJc w:val="left"/>
      <w:pPr>
        <w:ind w:left="4755" w:hanging="242"/>
      </w:pPr>
      <w:rPr>
        <w:u w:val="none"/>
      </w:rPr>
    </w:lvl>
    <w:lvl w:ilvl="5">
      <w:numFmt w:val="bullet"/>
      <w:lvlText w:val="•"/>
      <w:lvlJc w:val="left"/>
      <w:pPr>
        <w:ind w:left="5946" w:hanging="242"/>
      </w:pPr>
      <w:rPr>
        <w:u w:val="none"/>
      </w:rPr>
    </w:lvl>
    <w:lvl w:ilvl="6">
      <w:numFmt w:val="bullet"/>
      <w:lvlText w:val="•"/>
      <w:lvlJc w:val="left"/>
      <w:pPr>
        <w:ind w:left="7138" w:hanging="242"/>
      </w:pPr>
      <w:rPr>
        <w:u w:val="none"/>
      </w:rPr>
    </w:lvl>
    <w:lvl w:ilvl="7">
      <w:numFmt w:val="bullet"/>
      <w:lvlText w:val="•"/>
      <w:lvlJc w:val="left"/>
      <w:pPr>
        <w:ind w:left="8330" w:hanging="242"/>
      </w:pPr>
      <w:rPr>
        <w:u w:val="none"/>
      </w:rPr>
    </w:lvl>
    <w:lvl w:ilvl="8">
      <w:numFmt w:val="bullet"/>
      <w:lvlText w:val="•"/>
      <w:lvlJc w:val="left"/>
      <w:pPr>
        <w:ind w:left="9522" w:hanging="242"/>
      </w:pPr>
      <w:rPr>
        <w:u w:val="none"/>
      </w:rPr>
    </w:lvl>
  </w:abstractNum>
  <w:abstractNum w:abstractNumId="13" w15:restartNumberingAfterBreak="0">
    <w:nsid w:val="39EA74CB"/>
    <w:multiLevelType w:val="multilevel"/>
    <w:tmpl w:val="D6D2ADC8"/>
    <w:lvl w:ilvl="0">
      <w:start w:val="1"/>
      <w:numFmt w:val="lowerLetter"/>
      <w:lvlText w:val="%1)"/>
      <w:lvlJc w:val="left"/>
      <w:pPr>
        <w:ind w:left="2246" w:hanging="274"/>
      </w:pPr>
      <w:rPr>
        <w:u w:val="none"/>
      </w:rPr>
    </w:lvl>
    <w:lvl w:ilvl="1">
      <w:start w:val="1"/>
      <w:numFmt w:val="lowerLetter"/>
      <w:lvlText w:val="%2)"/>
      <w:lvlJc w:val="left"/>
      <w:pPr>
        <w:ind w:left="1927" w:hanging="274"/>
      </w:pPr>
      <w:rPr>
        <w:u w:val="none"/>
      </w:rPr>
    </w:lvl>
    <w:lvl w:ilvl="2">
      <w:numFmt w:val="bullet"/>
      <w:lvlText w:val="•"/>
      <w:lvlJc w:val="left"/>
      <w:pPr>
        <w:ind w:left="3313" w:hanging="273"/>
      </w:pPr>
      <w:rPr>
        <w:u w:val="none"/>
      </w:rPr>
    </w:lvl>
    <w:lvl w:ilvl="3">
      <w:numFmt w:val="bullet"/>
      <w:lvlText w:val="•"/>
      <w:lvlJc w:val="left"/>
      <w:pPr>
        <w:ind w:left="4387" w:hanging="274"/>
      </w:pPr>
      <w:rPr>
        <w:u w:val="none"/>
      </w:rPr>
    </w:lvl>
    <w:lvl w:ilvl="4">
      <w:numFmt w:val="bullet"/>
      <w:lvlText w:val="•"/>
      <w:lvlJc w:val="left"/>
      <w:pPr>
        <w:ind w:left="5461" w:hanging="274"/>
      </w:pPr>
      <w:rPr>
        <w:u w:val="none"/>
      </w:rPr>
    </w:lvl>
    <w:lvl w:ilvl="5">
      <w:numFmt w:val="bullet"/>
      <w:lvlText w:val="•"/>
      <w:lvlJc w:val="left"/>
      <w:pPr>
        <w:ind w:left="6535" w:hanging="274"/>
      </w:pPr>
      <w:rPr>
        <w:u w:val="none"/>
      </w:rPr>
    </w:lvl>
    <w:lvl w:ilvl="6">
      <w:numFmt w:val="bullet"/>
      <w:lvlText w:val="•"/>
      <w:lvlJc w:val="left"/>
      <w:pPr>
        <w:ind w:left="7609" w:hanging="274"/>
      </w:pPr>
      <w:rPr>
        <w:u w:val="none"/>
      </w:rPr>
    </w:lvl>
    <w:lvl w:ilvl="7">
      <w:numFmt w:val="bullet"/>
      <w:lvlText w:val="•"/>
      <w:lvlJc w:val="left"/>
      <w:pPr>
        <w:ind w:left="8683" w:hanging="274"/>
      </w:pPr>
      <w:rPr>
        <w:u w:val="none"/>
      </w:rPr>
    </w:lvl>
    <w:lvl w:ilvl="8">
      <w:numFmt w:val="bullet"/>
      <w:lvlText w:val="•"/>
      <w:lvlJc w:val="left"/>
      <w:pPr>
        <w:ind w:left="9757" w:hanging="274"/>
      </w:pPr>
      <w:rPr>
        <w:u w:val="none"/>
      </w:rPr>
    </w:lvl>
  </w:abstractNum>
  <w:abstractNum w:abstractNumId="14" w15:restartNumberingAfterBreak="0">
    <w:nsid w:val="3DA52C7E"/>
    <w:multiLevelType w:val="multilevel"/>
    <w:tmpl w:val="35EAC7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0F12601"/>
    <w:multiLevelType w:val="multilevel"/>
    <w:tmpl w:val="619409CA"/>
    <w:lvl w:ilvl="0">
      <w:start w:val="1"/>
      <w:numFmt w:val="decimal"/>
      <w:lvlText w:val="%1."/>
      <w:lvlJc w:val="left"/>
      <w:pPr>
        <w:ind w:left="360" w:hanging="360"/>
      </w:pPr>
      <w:rPr>
        <w:u w:val="none"/>
      </w:rPr>
    </w:lvl>
    <w:lvl w:ilvl="1">
      <w:start w:val="1"/>
      <w:numFmt w:val="decimal"/>
      <w:lvlText w:val="%1.%2."/>
      <w:lvlJc w:val="left"/>
      <w:pPr>
        <w:ind w:left="4188" w:hanging="360"/>
      </w:pPr>
      <w:rPr>
        <w:u w:val="none"/>
      </w:rPr>
    </w:lvl>
    <w:lvl w:ilvl="2">
      <w:start w:val="1"/>
      <w:numFmt w:val="decimal"/>
      <w:lvlText w:val="%1.%2.%3."/>
      <w:lvlJc w:val="left"/>
      <w:pPr>
        <w:ind w:left="2874" w:hanging="720"/>
      </w:pPr>
      <w:rPr>
        <w:u w:val="none"/>
      </w:rPr>
    </w:lvl>
    <w:lvl w:ilvl="3">
      <w:start w:val="1"/>
      <w:numFmt w:val="decimal"/>
      <w:lvlText w:val="%1.%2.%3.%4."/>
      <w:lvlJc w:val="left"/>
      <w:pPr>
        <w:ind w:left="3951" w:hanging="720"/>
      </w:pPr>
      <w:rPr>
        <w:u w:val="none"/>
      </w:rPr>
    </w:lvl>
    <w:lvl w:ilvl="4">
      <w:start w:val="1"/>
      <w:numFmt w:val="decimal"/>
      <w:lvlText w:val="%1.%2.%3.%4.%5."/>
      <w:lvlJc w:val="left"/>
      <w:pPr>
        <w:ind w:left="5388" w:hanging="1080"/>
      </w:pPr>
      <w:rPr>
        <w:u w:val="none"/>
      </w:rPr>
    </w:lvl>
    <w:lvl w:ilvl="5">
      <w:start w:val="1"/>
      <w:numFmt w:val="decimal"/>
      <w:lvlText w:val="%1.%2.%3.%4.%5.%6."/>
      <w:lvlJc w:val="left"/>
      <w:pPr>
        <w:ind w:left="6465" w:hanging="1080"/>
      </w:pPr>
      <w:rPr>
        <w:u w:val="none"/>
      </w:rPr>
    </w:lvl>
    <w:lvl w:ilvl="6">
      <w:start w:val="1"/>
      <w:numFmt w:val="decimal"/>
      <w:lvlText w:val="%1.%2.%3.%4.%5.%6.%7."/>
      <w:lvlJc w:val="left"/>
      <w:pPr>
        <w:ind w:left="7902" w:hanging="1440"/>
      </w:pPr>
      <w:rPr>
        <w:u w:val="none"/>
      </w:rPr>
    </w:lvl>
    <w:lvl w:ilvl="7">
      <w:start w:val="1"/>
      <w:numFmt w:val="decimal"/>
      <w:lvlText w:val="%1.%2.%3.%4.%5.%6.%7.%8."/>
      <w:lvlJc w:val="left"/>
      <w:pPr>
        <w:ind w:left="8979" w:hanging="1440"/>
      </w:pPr>
      <w:rPr>
        <w:u w:val="none"/>
      </w:rPr>
    </w:lvl>
    <w:lvl w:ilvl="8">
      <w:start w:val="1"/>
      <w:numFmt w:val="decimal"/>
      <w:lvlText w:val="%1.%2.%3.%4.%5.%6.%7.%8.%9."/>
      <w:lvlJc w:val="left"/>
      <w:pPr>
        <w:ind w:left="10416" w:hanging="1800"/>
      </w:pPr>
      <w:rPr>
        <w:u w:val="none"/>
      </w:rPr>
    </w:lvl>
  </w:abstractNum>
  <w:abstractNum w:abstractNumId="16" w15:restartNumberingAfterBreak="0">
    <w:nsid w:val="49417471"/>
    <w:multiLevelType w:val="multilevel"/>
    <w:tmpl w:val="D342401C"/>
    <w:lvl w:ilvl="0">
      <w:start w:val="1"/>
      <w:numFmt w:val="lowerLetter"/>
      <w:lvlText w:val="%1)"/>
      <w:lvlJc w:val="left"/>
      <w:pPr>
        <w:ind w:left="1491" w:hanging="274"/>
      </w:pPr>
      <w:rPr>
        <w:u w:val="none"/>
      </w:rPr>
    </w:lvl>
    <w:lvl w:ilvl="1">
      <w:numFmt w:val="bullet"/>
      <w:lvlText w:val="•"/>
      <w:lvlJc w:val="left"/>
      <w:pPr>
        <w:ind w:left="2540" w:hanging="274"/>
      </w:pPr>
      <w:rPr>
        <w:u w:val="none"/>
      </w:rPr>
    </w:lvl>
    <w:lvl w:ilvl="2">
      <w:numFmt w:val="bullet"/>
      <w:lvlText w:val="•"/>
      <w:lvlJc w:val="left"/>
      <w:pPr>
        <w:ind w:left="3581" w:hanging="273"/>
      </w:pPr>
      <w:rPr>
        <w:u w:val="none"/>
      </w:rPr>
    </w:lvl>
    <w:lvl w:ilvl="3">
      <w:numFmt w:val="bullet"/>
      <w:lvlText w:val="•"/>
      <w:lvlJc w:val="left"/>
      <w:pPr>
        <w:ind w:left="4621" w:hanging="274"/>
      </w:pPr>
      <w:rPr>
        <w:u w:val="none"/>
      </w:rPr>
    </w:lvl>
    <w:lvl w:ilvl="4">
      <w:numFmt w:val="bullet"/>
      <w:lvlText w:val="•"/>
      <w:lvlJc w:val="left"/>
      <w:pPr>
        <w:ind w:left="5662" w:hanging="273"/>
      </w:pPr>
      <w:rPr>
        <w:u w:val="none"/>
      </w:rPr>
    </w:lvl>
    <w:lvl w:ilvl="5">
      <w:numFmt w:val="bullet"/>
      <w:lvlText w:val="•"/>
      <w:lvlJc w:val="left"/>
      <w:pPr>
        <w:ind w:left="6702" w:hanging="273"/>
      </w:pPr>
      <w:rPr>
        <w:u w:val="none"/>
      </w:rPr>
    </w:lvl>
    <w:lvl w:ilvl="6">
      <w:numFmt w:val="bullet"/>
      <w:lvlText w:val="•"/>
      <w:lvlJc w:val="left"/>
      <w:pPr>
        <w:ind w:left="7743" w:hanging="274"/>
      </w:pPr>
      <w:rPr>
        <w:u w:val="none"/>
      </w:rPr>
    </w:lvl>
    <w:lvl w:ilvl="7">
      <w:numFmt w:val="bullet"/>
      <w:lvlText w:val="•"/>
      <w:lvlJc w:val="left"/>
      <w:pPr>
        <w:ind w:left="8783" w:hanging="274"/>
      </w:pPr>
      <w:rPr>
        <w:u w:val="none"/>
      </w:rPr>
    </w:lvl>
    <w:lvl w:ilvl="8">
      <w:numFmt w:val="bullet"/>
      <w:lvlText w:val="•"/>
      <w:lvlJc w:val="left"/>
      <w:pPr>
        <w:ind w:left="9824" w:hanging="274"/>
      </w:pPr>
      <w:rPr>
        <w:u w:val="none"/>
      </w:rPr>
    </w:lvl>
  </w:abstractNum>
  <w:abstractNum w:abstractNumId="17" w15:restartNumberingAfterBreak="0">
    <w:nsid w:val="49810DCF"/>
    <w:multiLevelType w:val="multilevel"/>
    <w:tmpl w:val="E5D80D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98F2FA5"/>
    <w:multiLevelType w:val="multilevel"/>
    <w:tmpl w:val="010C7D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9E06365"/>
    <w:multiLevelType w:val="multilevel"/>
    <w:tmpl w:val="E91EDB3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15:restartNumberingAfterBreak="0">
    <w:nsid w:val="4A380D29"/>
    <w:multiLevelType w:val="multilevel"/>
    <w:tmpl w:val="086C5B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A3E7485"/>
    <w:multiLevelType w:val="multilevel"/>
    <w:tmpl w:val="B52A7DEC"/>
    <w:lvl w:ilvl="0">
      <w:start w:val="1"/>
      <w:numFmt w:val="lowerLetter"/>
      <w:lvlText w:val="%1)"/>
      <w:lvlJc w:val="left"/>
      <w:pPr>
        <w:ind w:left="2138" w:hanging="360"/>
      </w:pPr>
      <w:rPr>
        <w:u w:val="none"/>
      </w:rPr>
    </w:lvl>
    <w:lvl w:ilvl="1">
      <w:start w:val="1"/>
      <w:numFmt w:val="lowerLetter"/>
      <w:lvlText w:val="%2."/>
      <w:lvlJc w:val="left"/>
      <w:pPr>
        <w:ind w:left="2858" w:hanging="360"/>
      </w:pPr>
      <w:rPr>
        <w:u w:val="none"/>
      </w:rPr>
    </w:lvl>
    <w:lvl w:ilvl="2">
      <w:start w:val="1"/>
      <w:numFmt w:val="lowerRoman"/>
      <w:lvlText w:val="%3."/>
      <w:lvlJc w:val="right"/>
      <w:pPr>
        <w:ind w:left="3578" w:hanging="180"/>
      </w:pPr>
      <w:rPr>
        <w:u w:val="none"/>
      </w:rPr>
    </w:lvl>
    <w:lvl w:ilvl="3">
      <w:start w:val="1"/>
      <w:numFmt w:val="decimal"/>
      <w:lvlText w:val="%4."/>
      <w:lvlJc w:val="left"/>
      <w:pPr>
        <w:ind w:left="4298" w:hanging="360"/>
      </w:pPr>
      <w:rPr>
        <w:u w:val="none"/>
      </w:rPr>
    </w:lvl>
    <w:lvl w:ilvl="4">
      <w:start w:val="1"/>
      <w:numFmt w:val="lowerLetter"/>
      <w:lvlText w:val="%5."/>
      <w:lvlJc w:val="left"/>
      <w:pPr>
        <w:ind w:left="5018" w:hanging="360"/>
      </w:pPr>
      <w:rPr>
        <w:u w:val="none"/>
      </w:rPr>
    </w:lvl>
    <w:lvl w:ilvl="5">
      <w:start w:val="1"/>
      <w:numFmt w:val="lowerRoman"/>
      <w:lvlText w:val="%6."/>
      <w:lvlJc w:val="right"/>
      <w:pPr>
        <w:ind w:left="5738" w:hanging="180"/>
      </w:pPr>
      <w:rPr>
        <w:u w:val="none"/>
      </w:rPr>
    </w:lvl>
    <w:lvl w:ilvl="6">
      <w:start w:val="1"/>
      <w:numFmt w:val="decimal"/>
      <w:lvlText w:val="%7."/>
      <w:lvlJc w:val="left"/>
      <w:pPr>
        <w:ind w:left="6458" w:hanging="360"/>
      </w:pPr>
      <w:rPr>
        <w:u w:val="none"/>
      </w:rPr>
    </w:lvl>
    <w:lvl w:ilvl="7">
      <w:start w:val="1"/>
      <w:numFmt w:val="lowerLetter"/>
      <w:lvlText w:val="%8."/>
      <w:lvlJc w:val="left"/>
      <w:pPr>
        <w:ind w:left="7178" w:hanging="360"/>
      </w:pPr>
      <w:rPr>
        <w:u w:val="none"/>
      </w:rPr>
    </w:lvl>
    <w:lvl w:ilvl="8">
      <w:start w:val="1"/>
      <w:numFmt w:val="lowerRoman"/>
      <w:lvlText w:val="%9."/>
      <w:lvlJc w:val="right"/>
      <w:pPr>
        <w:ind w:left="7898" w:hanging="180"/>
      </w:pPr>
      <w:rPr>
        <w:u w:val="none"/>
      </w:rPr>
    </w:lvl>
  </w:abstractNum>
  <w:abstractNum w:abstractNumId="22" w15:restartNumberingAfterBreak="0">
    <w:nsid w:val="4BA543BD"/>
    <w:multiLevelType w:val="multilevel"/>
    <w:tmpl w:val="B7327B64"/>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180"/>
      </w:pPr>
      <w:rPr>
        <w:u w:val="none"/>
      </w:rPr>
    </w:lvl>
  </w:abstractNum>
  <w:abstractNum w:abstractNumId="23" w15:restartNumberingAfterBreak="0">
    <w:nsid w:val="5B3A7971"/>
    <w:multiLevelType w:val="multilevel"/>
    <w:tmpl w:val="92CACA9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5D1A6EE9"/>
    <w:multiLevelType w:val="multilevel"/>
    <w:tmpl w:val="72E2E7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2174FEC"/>
    <w:multiLevelType w:val="multilevel"/>
    <w:tmpl w:val="C890C2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6A91D21"/>
    <w:multiLevelType w:val="multilevel"/>
    <w:tmpl w:val="715C7808"/>
    <w:lvl w:ilvl="0">
      <w:start w:val="1"/>
      <w:numFmt w:val="lowerLetter"/>
      <w:lvlText w:val="%1)"/>
      <w:lvlJc w:val="left"/>
      <w:pPr>
        <w:ind w:left="2223" w:hanging="274"/>
      </w:pPr>
      <w:rPr>
        <w:u w:val="none"/>
      </w:rPr>
    </w:lvl>
    <w:lvl w:ilvl="1">
      <w:numFmt w:val="bullet"/>
      <w:lvlText w:val="•"/>
      <w:lvlJc w:val="left"/>
      <w:pPr>
        <w:ind w:left="3188" w:hanging="273"/>
      </w:pPr>
      <w:rPr>
        <w:u w:val="none"/>
      </w:rPr>
    </w:lvl>
    <w:lvl w:ilvl="2">
      <w:numFmt w:val="bullet"/>
      <w:lvlText w:val="•"/>
      <w:lvlJc w:val="left"/>
      <w:pPr>
        <w:ind w:left="4157" w:hanging="274"/>
      </w:pPr>
      <w:rPr>
        <w:u w:val="none"/>
      </w:rPr>
    </w:lvl>
    <w:lvl w:ilvl="3">
      <w:numFmt w:val="bullet"/>
      <w:lvlText w:val="•"/>
      <w:lvlJc w:val="left"/>
      <w:pPr>
        <w:ind w:left="5125" w:hanging="274"/>
      </w:pPr>
      <w:rPr>
        <w:u w:val="none"/>
      </w:rPr>
    </w:lvl>
    <w:lvl w:ilvl="4">
      <w:numFmt w:val="bullet"/>
      <w:lvlText w:val="•"/>
      <w:lvlJc w:val="left"/>
      <w:pPr>
        <w:ind w:left="6094" w:hanging="274"/>
      </w:pPr>
      <w:rPr>
        <w:u w:val="none"/>
      </w:rPr>
    </w:lvl>
    <w:lvl w:ilvl="5">
      <w:numFmt w:val="bullet"/>
      <w:lvlText w:val="•"/>
      <w:lvlJc w:val="left"/>
      <w:pPr>
        <w:ind w:left="7062" w:hanging="273"/>
      </w:pPr>
      <w:rPr>
        <w:u w:val="none"/>
      </w:rPr>
    </w:lvl>
    <w:lvl w:ilvl="6">
      <w:numFmt w:val="bullet"/>
      <w:lvlText w:val="•"/>
      <w:lvlJc w:val="left"/>
      <w:pPr>
        <w:ind w:left="8031" w:hanging="274"/>
      </w:pPr>
      <w:rPr>
        <w:u w:val="none"/>
      </w:rPr>
    </w:lvl>
    <w:lvl w:ilvl="7">
      <w:numFmt w:val="bullet"/>
      <w:lvlText w:val="•"/>
      <w:lvlJc w:val="left"/>
      <w:pPr>
        <w:ind w:left="8999" w:hanging="274"/>
      </w:pPr>
      <w:rPr>
        <w:u w:val="none"/>
      </w:rPr>
    </w:lvl>
    <w:lvl w:ilvl="8">
      <w:numFmt w:val="bullet"/>
      <w:lvlText w:val="•"/>
      <w:lvlJc w:val="left"/>
      <w:pPr>
        <w:ind w:left="9968" w:hanging="274"/>
      </w:pPr>
      <w:rPr>
        <w:u w:val="none"/>
      </w:rPr>
    </w:lvl>
  </w:abstractNum>
  <w:abstractNum w:abstractNumId="27" w15:restartNumberingAfterBreak="0">
    <w:nsid w:val="67CE145F"/>
    <w:multiLevelType w:val="multilevel"/>
    <w:tmpl w:val="4E44148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8" w15:restartNumberingAfterBreak="0">
    <w:nsid w:val="6BE1718D"/>
    <w:multiLevelType w:val="multilevel"/>
    <w:tmpl w:val="021896CC"/>
    <w:lvl w:ilvl="0">
      <w:start w:val="1"/>
      <w:numFmt w:val="lowerLetter"/>
      <w:lvlText w:val="%1)"/>
      <w:lvlJc w:val="left"/>
      <w:pPr>
        <w:ind w:left="1446" w:hanging="360"/>
      </w:pPr>
      <w:rPr>
        <w:u w:val="none"/>
      </w:rPr>
    </w:lvl>
    <w:lvl w:ilvl="1">
      <w:start w:val="1"/>
      <w:numFmt w:val="lowerLetter"/>
      <w:lvlText w:val="%2."/>
      <w:lvlJc w:val="left"/>
      <w:pPr>
        <w:ind w:left="2166" w:hanging="360"/>
      </w:pPr>
      <w:rPr>
        <w:u w:val="none"/>
      </w:rPr>
    </w:lvl>
    <w:lvl w:ilvl="2">
      <w:start w:val="1"/>
      <w:numFmt w:val="lowerRoman"/>
      <w:lvlText w:val="%3."/>
      <w:lvlJc w:val="right"/>
      <w:pPr>
        <w:ind w:left="2886" w:hanging="180"/>
      </w:pPr>
      <w:rPr>
        <w:u w:val="none"/>
      </w:rPr>
    </w:lvl>
    <w:lvl w:ilvl="3">
      <w:start w:val="1"/>
      <w:numFmt w:val="decimal"/>
      <w:lvlText w:val="%4."/>
      <w:lvlJc w:val="left"/>
      <w:pPr>
        <w:ind w:left="3606" w:hanging="360"/>
      </w:pPr>
      <w:rPr>
        <w:u w:val="none"/>
      </w:rPr>
    </w:lvl>
    <w:lvl w:ilvl="4">
      <w:start w:val="1"/>
      <w:numFmt w:val="lowerLetter"/>
      <w:lvlText w:val="%5."/>
      <w:lvlJc w:val="left"/>
      <w:pPr>
        <w:ind w:left="4326" w:hanging="360"/>
      </w:pPr>
      <w:rPr>
        <w:u w:val="none"/>
      </w:rPr>
    </w:lvl>
    <w:lvl w:ilvl="5">
      <w:start w:val="1"/>
      <w:numFmt w:val="lowerRoman"/>
      <w:lvlText w:val="%6."/>
      <w:lvlJc w:val="right"/>
      <w:pPr>
        <w:ind w:left="5046" w:hanging="180"/>
      </w:pPr>
      <w:rPr>
        <w:u w:val="none"/>
      </w:rPr>
    </w:lvl>
    <w:lvl w:ilvl="6">
      <w:start w:val="1"/>
      <w:numFmt w:val="decimal"/>
      <w:lvlText w:val="%7."/>
      <w:lvlJc w:val="left"/>
      <w:pPr>
        <w:ind w:left="5766" w:hanging="360"/>
      </w:pPr>
      <w:rPr>
        <w:u w:val="none"/>
      </w:rPr>
    </w:lvl>
    <w:lvl w:ilvl="7">
      <w:start w:val="1"/>
      <w:numFmt w:val="lowerLetter"/>
      <w:lvlText w:val="%8."/>
      <w:lvlJc w:val="left"/>
      <w:pPr>
        <w:ind w:left="6486" w:hanging="360"/>
      </w:pPr>
      <w:rPr>
        <w:u w:val="none"/>
      </w:rPr>
    </w:lvl>
    <w:lvl w:ilvl="8">
      <w:start w:val="1"/>
      <w:numFmt w:val="lowerRoman"/>
      <w:lvlText w:val="%9."/>
      <w:lvlJc w:val="right"/>
      <w:pPr>
        <w:ind w:left="7206" w:hanging="180"/>
      </w:pPr>
      <w:rPr>
        <w:u w:val="none"/>
      </w:rPr>
    </w:lvl>
  </w:abstractNum>
  <w:abstractNum w:abstractNumId="29" w15:restartNumberingAfterBreak="0">
    <w:nsid w:val="6C2E63AC"/>
    <w:multiLevelType w:val="multilevel"/>
    <w:tmpl w:val="1808383C"/>
    <w:lvl w:ilvl="0">
      <w:start w:val="1"/>
      <w:numFmt w:val="lowerLetter"/>
      <w:lvlText w:val="%1)"/>
      <w:lvlJc w:val="left"/>
      <w:pPr>
        <w:ind w:left="5972" w:hanging="273"/>
      </w:pPr>
      <w:rPr>
        <w:u w:val="none"/>
      </w:rPr>
    </w:lvl>
    <w:lvl w:ilvl="1">
      <w:numFmt w:val="bullet"/>
      <w:lvlText w:val="•"/>
      <w:lvlJc w:val="left"/>
      <w:pPr>
        <w:ind w:left="6572" w:hanging="273"/>
      </w:pPr>
      <w:rPr>
        <w:u w:val="none"/>
      </w:rPr>
    </w:lvl>
    <w:lvl w:ilvl="2">
      <w:numFmt w:val="bullet"/>
      <w:lvlText w:val="•"/>
      <w:lvlJc w:val="left"/>
      <w:pPr>
        <w:ind w:left="7165" w:hanging="274"/>
      </w:pPr>
      <w:rPr>
        <w:u w:val="none"/>
      </w:rPr>
    </w:lvl>
    <w:lvl w:ilvl="3">
      <w:numFmt w:val="bullet"/>
      <w:lvlText w:val="•"/>
      <w:lvlJc w:val="left"/>
      <w:pPr>
        <w:ind w:left="7757" w:hanging="273"/>
      </w:pPr>
      <w:rPr>
        <w:u w:val="none"/>
      </w:rPr>
    </w:lvl>
    <w:lvl w:ilvl="4">
      <w:numFmt w:val="bullet"/>
      <w:lvlText w:val="•"/>
      <w:lvlJc w:val="left"/>
      <w:pPr>
        <w:ind w:left="8350" w:hanging="274"/>
      </w:pPr>
      <w:rPr>
        <w:u w:val="none"/>
      </w:rPr>
    </w:lvl>
    <w:lvl w:ilvl="5">
      <w:numFmt w:val="bullet"/>
      <w:lvlText w:val="•"/>
      <w:lvlJc w:val="left"/>
      <w:pPr>
        <w:ind w:left="8942" w:hanging="274"/>
      </w:pPr>
      <w:rPr>
        <w:u w:val="none"/>
      </w:rPr>
    </w:lvl>
    <w:lvl w:ilvl="6">
      <w:numFmt w:val="bullet"/>
      <w:lvlText w:val="•"/>
      <w:lvlJc w:val="left"/>
      <w:pPr>
        <w:ind w:left="9535" w:hanging="274"/>
      </w:pPr>
      <w:rPr>
        <w:u w:val="none"/>
      </w:rPr>
    </w:lvl>
    <w:lvl w:ilvl="7">
      <w:numFmt w:val="bullet"/>
      <w:lvlText w:val="•"/>
      <w:lvlJc w:val="left"/>
      <w:pPr>
        <w:ind w:left="10127" w:hanging="274"/>
      </w:pPr>
      <w:rPr>
        <w:u w:val="none"/>
      </w:rPr>
    </w:lvl>
    <w:lvl w:ilvl="8">
      <w:numFmt w:val="bullet"/>
      <w:lvlText w:val="•"/>
      <w:lvlJc w:val="left"/>
      <w:pPr>
        <w:ind w:left="10720" w:hanging="274"/>
      </w:pPr>
      <w:rPr>
        <w:u w:val="none"/>
      </w:rPr>
    </w:lvl>
  </w:abstractNum>
  <w:abstractNum w:abstractNumId="30" w15:restartNumberingAfterBreak="0">
    <w:nsid w:val="7388067D"/>
    <w:multiLevelType w:val="multilevel"/>
    <w:tmpl w:val="444EF64E"/>
    <w:lvl w:ilvl="0">
      <w:start w:val="1"/>
      <w:numFmt w:val="lowerLetter"/>
      <w:lvlText w:val="%1)"/>
      <w:lvlJc w:val="left"/>
      <w:pPr>
        <w:ind w:left="1022" w:hanging="273"/>
      </w:pPr>
      <w:rPr>
        <w:u w:val="none"/>
      </w:rPr>
    </w:lvl>
    <w:lvl w:ilvl="1">
      <w:start w:val="1"/>
      <w:numFmt w:val="lowerLetter"/>
      <w:lvlText w:val="%2)"/>
      <w:lvlJc w:val="left"/>
      <w:pPr>
        <w:ind w:left="2229" w:hanging="274"/>
      </w:pPr>
      <w:rPr>
        <w:u w:val="none"/>
      </w:rPr>
    </w:lvl>
    <w:lvl w:ilvl="2">
      <w:numFmt w:val="bullet"/>
      <w:lvlText w:val="•"/>
      <w:lvlJc w:val="left"/>
      <w:pPr>
        <w:ind w:left="3296" w:hanging="273"/>
      </w:pPr>
      <w:rPr>
        <w:u w:val="none"/>
      </w:rPr>
    </w:lvl>
    <w:lvl w:ilvl="3">
      <w:numFmt w:val="bullet"/>
      <w:lvlText w:val="•"/>
      <w:lvlJc w:val="left"/>
      <w:pPr>
        <w:ind w:left="4372" w:hanging="274"/>
      </w:pPr>
      <w:rPr>
        <w:u w:val="none"/>
      </w:rPr>
    </w:lvl>
    <w:lvl w:ilvl="4">
      <w:numFmt w:val="bullet"/>
      <w:lvlText w:val="•"/>
      <w:lvlJc w:val="left"/>
      <w:pPr>
        <w:ind w:left="5448" w:hanging="274"/>
      </w:pPr>
      <w:rPr>
        <w:u w:val="none"/>
      </w:rPr>
    </w:lvl>
    <w:lvl w:ilvl="5">
      <w:numFmt w:val="bullet"/>
      <w:lvlText w:val="•"/>
      <w:lvlJc w:val="left"/>
      <w:pPr>
        <w:ind w:left="6524" w:hanging="274"/>
      </w:pPr>
      <w:rPr>
        <w:u w:val="none"/>
      </w:rPr>
    </w:lvl>
    <w:lvl w:ilvl="6">
      <w:numFmt w:val="bullet"/>
      <w:lvlText w:val="•"/>
      <w:lvlJc w:val="left"/>
      <w:pPr>
        <w:ind w:left="7600" w:hanging="274"/>
      </w:pPr>
      <w:rPr>
        <w:u w:val="none"/>
      </w:rPr>
    </w:lvl>
    <w:lvl w:ilvl="7">
      <w:numFmt w:val="bullet"/>
      <w:lvlText w:val="•"/>
      <w:lvlJc w:val="left"/>
      <w:pPr>
        <w:ind w:left="8677" w:hanging="274"/>
      </w:pPr>
      <w:rPr>
        <w:u w:val="none"/>
      </w:rPr>
    </w:lvl>
    <w:lvl w:ilvl="8">
      <w:numFmt w:val="bullet"/>
      <w:lvlText w:val="•"/>
      <w:lvlJc w:val="left"/>
      <w:pPr>
        <w:ind w:left="9753" w:hanging="274"/>
      </w:pPr>
      <w:rPr>
        <w:u w:val="none"/>
      </w:rPr>
    </w:lvl>
  </w:abstractNum>
  <w:abstractNum w:abstractNumId="31" w15:restartNumberingAfterBreak="0">
    <w:nsid w:val="74B2210C"/>
    <w:multiLevelType w:val="multilevel"/>
    <w:tmpl w:val="1A84AA7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223058945">
    <w:abstractNumId w:val="25"/>
  </w:num>
  <w:num w:numId="2" w16cid:durableId="167259216">
    <w:abstractNumId w:val="22"/>
  </w:num>
  <w:num w:numId="3" w16cid:durableId="199318417">
    <w:abstractNumId w:val="30"/>
  </w:num>
  <w:num w:numId="4" w16cid:durableId="1212033102">
    <w:abstractNumId w:val="21"/>
  </w:num>
  <w:num w:numId="5" w16cid:durableId="284042389">
    <w:abstractNumId w:val="15"/>
  </w:num>
  <w:num w:numId="6" w16cid:durableId="670716380">
    <w:abstractNumId w:val="24"/>
  </w:num>
  <w:num w:numId="7" w16cid:durableId="381901022">
    <w:abstractNumId w:val="4"/>
  </w:num>
  <w:num w:numId="8" w16cid:durableId="1732461915">
    <w:abstractNumId w:val="9"/>
  </w:num>
  <w:num w:numId="9" w16cid:durableId="312569947">
    <w:abstractNumId w:val="10"/>
  </w:num>
  <w:num w:numId="10" w16cid:durableId="507525628">
    <w:abstractNumId w:val="6"/>
  </w:num>
  <w:num w:numId="11" w16cid:durableId="395200441">
    <w:abstractNumId w:val="14"/>
  </w:num>
  <w:num w:numId="12" w16cid:durableId="429937819">
    <w:abstractNumId w:val="8"/>
  </w:num>
  <w:num w:numId="13" w16cid:durableId="409037174">
    <w:abstractNumId w:val="2"/>
  </w:num>
  <w:num w:numId="14" w16cid:durableId="760105310">
    <w:abstractNumId w:val="17"/>
  </w:num>
  <w:num w:numId="15" w16cid:durableId="1075124745">
    <w:abstractNumId w:val="28"/>
  </w:num>
  <w:num w:numId="16" w16cid:durableId="759639181">
    <w:abstractNumId w:val="26"/>
  </w:num>
  <w:num w:numId="17" w16cid:durableId="1363283742">
    <w:abstractNumId w:val="18"/>
  </w:num>
  <w:num w:numId="18" w16cid:durableId="585655302">
    <w:abstractNumId w:val="5"/>
  </w:num>
  <w:num w:numId="19" w16cid:durableId="2060787745">
    <w:abstractNumId w:val="1"/>
  </w:num>
  <w:num w:numId="20" w16cid:durableId="206913657">
    <w:abstractNumId w:val="31"/>
  </w:num>
  <w:num w:numId="21" w16cid:durableId="1537499724">
    <w:abstractNumId w:val="29"/>
  </w:num>
  <w:num w:numId="22" w16cid:durableId="2100060086">
    <w:abstractNumId w:val="27"/>
  </w:num>
  <w:num w:numId="23" w16cid:durableId="1307780289">
    <w:abstractNumId w:val="19"/>
  </w:num>
  <w:num w:numId="24" w16cid:durableId="1624996983">
    <w:abstractNumId w:val="23"/>
  </w:num>
  <w:num w:numId="25" w16cid:durableId="1510439850">
    <w:abstractNumId w:val="16"/>
  </w:num>
  <w:num w:numId="26" w16cid:durableId="1557739435">
    <w:abstractNumId w:val="11"/>
  </w:num>
  <w:num w:numId="27" w16cid:durableId="874272701">
    <w:abstractNumId w:val="20"/>
  </w:num>
  <w:num w:numId="28" w16cid:durableId="859703683">
    <w:abstractNumId w:val="12"/>
  </w:num>
  <w:num w:numId="29" w16cid:durableId="612322943">
    <w:abstractNumId w:val="3"/>
  </w:num>
  <w:num w:numId="30" w16cid:durableId="485367392">
    <w:abstractNumId w:val="0"/>
  </w:num>
  <w:num w:numId="31" w16cid:durableId="46077707">
    <w:abstractNumId w:val="7"/>
  </w:num>
  <w:num w:numId="32" w16cid:durableId="96373152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CB"/>
    <w:rsid w:val="001324B4"/>
    <w:rsid w:val="002933D0"/>
    <w:rsid w:val="003C15C3"/>
    <w:rsid w:val="006924CB"/>
    <w:rsid w:val="00710506"/>
    <w:rsid w:val="00FE1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CE60"/>
  <w15:docId w15:val="{A7FAA388-7D5F-4057-A364-66D7D71C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9680</Words>
  <Characters>52272</Characters>
  <Application>Microsoft Office Word</Application>
  <DocSecurity>0</DocSecurity>
  <Lines>435</Lines>
  <Paragraphs>123</Paragraphs>
  <ScaleCrop>false</ScaleCrop>
  <Company/>
  <LinksUpToDate>false</LinksUpToDate>
  <CharactersWithSpaces>61829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Claudia Garcia Fresqui</dc:creator>
  <cp:lastModifiedBy>Ana Claudia fresqui</cp:lastModifiedBy>
  <cp:revision>3</cp:revision>
  <dcterms:created xsi:type="dcterms:W3CDTF">2025-09-05T15:46:00Z</dcterms:created>
  <dcterms:modified xsi:type="dcterms:W3CDTF">2025-09-05T15:48:00Z</dcterms:modified>
</cp:coreProperties>
</file>